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00B1C" w14:paraId="2F279130" w14:textId="77777777" w:rsidTr="003472C3">
        <w:tc>
          <w:tcPr>
            <w:tcW w:w="9072"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393130BD" w14:textId="77777777" w:rsidR="00400B1C" w:rsidRPr="00400B1C" w:rsidRDefault="00400B1C" w:rsidP="00400B1C">
            <w:pPr>
              <w:pStyle w:val="HeadingCentred"/>
            </w:pPr>
            <w:r w:rsidRPr="00EA513C">
              <w:t>Local government financial reporting issues and developments</w:t>
            </w:r>
          </w:p>
        </w:tc>
      </w:tr>
      <w:tr w:rsidR="00400B1C" w14:paraId="527077E2" w14:textId="77777777" w:rsidTr="003472C3">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F99FB4" w14:textId="77777777" w:rsidR="00400B1C" w:rsidRPr="00400B1C" w:rsidRDefault="00400B1C" w:rsidP="00400B1C">
            <w:pPr>
              <w:pStyle w:val="Tableheading-leftaligned"/>
            </w:pPr>
            <w:r>
              <w:t>Application</w:t>
            </w:r>
          </w:p>
        </w:tc>
      </w:tr>
      <w:tr w:rsidR="00400B1C" w14:paraId="46A460A2" w14:textId="77777777" w:rsidTr="003472C3">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3FB7C" w14:textId="77777777" w:rsidR="00400B1C" w:rsidRPr="00400B1C" w:rsidRDefault="00400B1C" w:rsidP="00400B1C">
            <w:pPr>
              <w:pStyle w:val="Tableheading-leftaligned"/>
            </w:pPr>
            <w:r w:rsidRPr="009472DA">
              <w:t>Type of audit and assurance work</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38A7A" w14:textId="77777777" w:rsidR="00400B1C" w:rsidRPr="00400B1C" w:rsidRDefault="00400B1C" w:rsidP="00400B1C">
            <w:pPr>
              <w:pStyle w:val="Tableheading-leftaligned"/>
            </w:pPr>
            <w:r w:rsidRPr="009472DA">
              <w:t>Type of entities</w:t>
            </w:r>
          </w:p>
        </w:tc>
      </w:tr>
      <w:tr w:rsidR="00400B1C" w14:paraId="0808C79D" w14:textId="77777777" w:rsidTr="003472C3">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1BF980" w14:textId="77777777" w:rsidR="00400B1C" w:rsidRPr="00400B1C" w:rsidRDefault="00400B1C" w:rsidP="00400B1C">
            <w:pPr>
              <w:pStyle w:val="Tablebullet"/>
            </w:pPr>
            <w:r w:rsidRPr="009472DA">
              <w:t xml:space="preserve">This document applies to financial statements (general </w:t>
            </w:r>
            <w:r w:rsidRPr="00400B1C">
              <w:t>purpose) audit engagements.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F6463" w14:textId="77777777" w:rsidR="00400B1C" w:rsidRPr="00400B1C" w:rsidRDefault="00400B1C" w:rsidP="00400B1C">
            <w:pPr>
              <w:pStyle w:val="Tablebullet"/>
            </w:pPr>
            <w:r w:rsidRPr="009472DA">
              <w:t xml:space="preserve">local </w:t>
            </w:r>
            <w:r w:rsidRPr="00400B1C">
              <w:t>and county councils (councils)</w:t>
            </w:r>
          </w:p>
          <w:p w14:paraId="79FB0F57" w14:textId="77777777" w:rsidR="00400B1C" w:rsidRPr="00400B1C" w:rsidRDefault="00400B1C" w:rsidP="00400B1C">
            <w:pPr>
              <w:pStyle w:val="Tablebullet"/>
            </w:pPr>
            <w:r>
              <w:t>joint organisations</w:t>
            </w:r>
            <w:r w:rsidRPr="00400B1C" w:rsidDel="00824516">
              <w:t xml:space="preserve"> </w:t>
            </w:r>
            <w:r w:rsidRPr="00400B1C">
              <w:t>(JOs)</w:t>
            </w:r>
          </w:p>
          <w:p w14:paraId="2F8873AB" w14:textId="77777777" w:rsidR="00400B1C" w:rsidRPr="00400B1C" w:rsidRDefault="00400B1C" w:rsidP="00400B1C">
            <w:pPr>
              <w:pStyle w:val="Tablebullet"/>
            </w:pPr>
            <w:r w:rsidRPr="009472DA">
              <w:t>council entities (where applicable)</w:t>
            </w:r>
            <w:r w:rsidRPr="00400B1C">
              <w:t>.</w:t>
            </w:r>
          </w:p>
          <w:p w14:paraId="20CA32BA" w14:textId="77777777" w:rsidR="00400B1C" w:rsidRPr="009472DA" w:rsidRDefault="00400B1C" w:rsidP="00400B1C">
            <w:pPr>
              <w:pStyle w:val="SingleLineText-Half"/>
            </w:pPr>
          </w:p>
        </w:tc>
      </w:tr>
      <w:tr w:rsidR="00400B1C" w14:paraId="2596D45F" w14:textId="77777777" w:rsidTr="003472C3">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E94CC" w14:textId="77777777" w:rsidR="00400B1C" w:rsidRPr="00400B1C" w:rsidRDefault="00400B1C" w:rsidP="00400B1C">
            <w:pPr>
              <w:pStyle w:val="Tableheading-leftaligned"/>
            </w:pPr>
            <w:r w:rsidRPr="009472DA">
              <w:t>Instructions</w:t>
            </w:r>
          </w:p>
          <w:p w14:paraId="1CFF29E2" w14:textId="04B1B8DD" w:rsidR="00400B1C" w:rsidRDefault="00400B1C" w:rsidP="00400B1C">
            <w:pPr>
              <w:pStyle w:val="Tabletext"/>
            </w:pPr>
            <w:r w:rsidRPr="009472DA">
              <w:t xml:space="preserve">Auditors </w:t>
            </w:r>
            <w:r w:rsidR="00BD65A4">
              <w:t xml:space="preserve">should </w:t>
            </w:r>
            <w:r w:rsidRPr="00400B1C">
              <w:t>refer to the Financial Reporting Issues and Developments in the Annual Engagement Plan (AEP).</w:t>
            </w:r>
          </w:p>
          <w:p w14:paraId="219D1886" w14:textId="77777777" w:rsidR="00400B1C" w:rsidRPr="00400B1C" w:rsidRDefault="00400B1C" w:rsidP="00400B1C">
            <w:pPr>
              <w:pStyle w:val="Tableheading-leftaligned"/>
            </w:pPr>
            <w:r w:rsidRPr="009472DA">
              <w:t>Objective</w:t>
            </w:r>
          </w:p>
          <w:p w14:paraId="22C2A2ED" w14:textId="77777777" w:rsidR="00400B1C" w:rsidRDefault="00400B1C" w:rsidP="00400B1C">
            <w:pPr>
              <w:pStyle w:val="Tabletext"/>
            </w:pPr>
            <w:r w:rsidRPr="009472DA">
              <w:t>This template summarises current issues and recently issued professional and statutory requirements that may affect the financial statements and/or annual report.</w:t>
            </w:r>
          </w:p>
          <w:p w14:paraId="7EA0A18B" w14:textId="77777777" w:rsidR="00400B1C" w:rsidRPr="00400B1C" w:rsidRDefault="00400B1C" w:rsidP="00400B1C">
            <w:pPr>
              <w:pStyle w:val="Tableheading-leftaligned"/>
            </w:pPr>
            <w:r w:rsidRPr="009472DA">
              <w:t>Documentation</w:t>
            </w:r>
          </w:p>
          <w:p w14:paraId="73625A76" w14:textId="68588F90" w:rsidR="00400B1C" w:rsidRDefault="00400B1C" w:rsidP="00400B1C">
            <w:pPr>
              <w:pStyle w:val="Tabletext"/>
            </w:pPr>
            <w:r w:rsidRPr="009472DA">
              <w:t xml:space="preserve">The </w:t>
            </w:r>
            <w:r w:rsidRPr="00400B1C">
              <w:t>AEP template contains a link to this document. It does not need</w:t>
            </w:r>
            <w:r w:rsidR="005C7996">
              <w:t xml:space="preserve"> to</w:t>
            </w:r>
            <w:bookmarkStart w:id="0" w:name="_GoBack"/>
            <w:bookmarkEnd w:id="0"/>
            <w:r w:rsidRPr="00400B1C">
              <w:t xml:space="preserve"> be filed in the audit file as it is issued to </w:t>
            </w:r>
            <w:r w:rsidR="00A357EB">
              <w:t>the auditee</w:t>
            </w:r>
            <w:r w:rsidRPr="00400B1C">
              <w:t xml:space="preserve"> via the Audit Office </w:t>
            </w:r>
            <w:hyperlink r:id="rId8" w:history="1">
              <w:r w:rsidRPr="00400B1C">
                <w:rPr>
                  <w:rStyle w:val="Hyperlink"/>
                </w:rPr>
                <w:t>website</w:t>
              </w:r>
            </w:hyperlink>
            <w:r w:rsidRPr="00400B1C">
              <w:t>. However, where this document refers to a matter of significance to a council or JO, the information may, with appropriate tailoring be highlighted within the AEP.</w:t>
            </w:r>
          </w:p>
          <w:p w14:paraId="5E133EB3" w14:textId="77777777" w:rsidR="00400B1C" w:rsidRPr="00400B1C" w:rsidRDefault="00400B1C" w:rsidP="00400B1C">
            <w:pPr>
              <w:pStyle w:val="Tableheading-leftaligned"/>
            </w:pPr>
            <w:r w:rsidRPr="009472DA">
              <w:t>Background</w:t>
            </w:r>
          </w:p>
          <w:p w14:paraId="235933B1" w14:textId="77777777" w:rsidR="00400B1C" w:rsidRPr="00400B1C" w:rsidRDefault="00400B1C" w:rsidP="00400B1C">
            <w:pPr>
              <w:pStyle w:val="Tabletext"/>
            </w:pPr>
            <w:r w:rsidRPr="009472DA">
              <w:t>This document includes:</w:t>
            </w:r>
          </w:p>
          <w:p w14:paraId="3020DEE6" w14:textId="77777777" w:rsidR="00683AED" w:rsidRDefault="00400B1C" w:rsidP="00400B1C">
            <w:pPr>
              <w:pStyle w:val="Tablebullet"/>
            </w:pPr>
            <w:r w:rsidRPr="009472DA">
              <w:t>current issues and financial reporting developments that may impact councils’</w:t>
            </w:r>
            <w:r w:rsidRPr="00400B1C">
              <w:t xml:space="preserve"> and JOs’ financial statements</w:t>
            </w:r>
          </w:p>
          <w:p w14:paraId="7813EFF9" w14:textId="4A8C5268" w:rsidR="00400B1C" w:rsidRPr="00400B1C" w:rsidRDefault="00400B1C" w:rsidP="00400B1C">
            <w:pPr>
              <w:pStyle w:val="Tablebullet"/>
            </w:pPr>
            <w:r w:rsidRPr="009472DA">
              <w:t xml:space="preserve">Australian Accounting Standards Board pronouncements </w:t>
            </w:r>
            <w:r w:rsidRPr="00400B1C">
              <w:t>issued between 1</w:t>
            </w:r>
            <w:r w:rsidR="007012FB">
              <w:t> J</w:t>
            </w:r>
            <w:r w:rsidR="00361823">
              <w:t>anuary</w:t>
            </w:r>
            <w:r w:rsidR="007012FB">
              <w:t> </w:t>
            </w:r>
            <w:r w:rsidR="00361823" w:rsidRPr="00400B1C">
              <w:t>201</w:t>
            </w:r>
            <w:r w:rsidR="00361823">
              <w:t>9</w:t>
            </w:r>
            <w:r w:rsidR="00361823" w:rsidRPr="00400B1C">
              <w:t xml:space="preserve"> </w:t>
            </w:r>
            <w:r w:rsidRPr="00400B1C">
              <w:t xml:space="preserve">to </w:t>
            </w:r>
            <w:r w:rsidR="00091F6F" w:rsidRPr="00A66D5A">
              <w:t>2</w:t>
            </w:r>
            <w:r w:rsidR="00361823" w:rsidRPr="00A66D5A">
              <w:t> December</w:t>
            </w:r>
            <w:r w:rsidR="00361823">
              <w:t> </w:t>
            </w:r>
            <w:r w:rsidRPr="00400B1C">
              <w:t>2019</w:t>
            </w:r>
          </w:p>
          <w:p w14:paraId="2FEA1C2B" w14:textId="476272E9" w:rsidR="00400B1C" w:rsidRPr="00400B1C" w:rsidRDefault="00400B1C" w:rsidP="00400B1C">
            <w:pPr>
              <w:pStyle w:val="Tablebullet"/>
            </w:pPr>
            <w:r w:rsidRPr="008414C5">
              <w:t>other pronouncements issued between 1</w:t>
            </w:r>
            <w:r w:rsidR="007012FB">
              <w:t> </w:t>
            </w:r>
            <w:r w:rsidR="00361823">
              <w:t>January </w:t>
            </w:r>
            <w:r w:rsidR="00361823" w:rsidRPr="00A66D5A">
              <w:t xml:space="preserve">2019 </w:t>
            </w:r>
            <w:r w:rsidRPr="00A66D5A">
              <w:t xml:space="preserve">to </w:t>
            </w:r>
            <w:r w:rsidR="00091F6F" w:rsidRPr="00A66D5A">
              <w:t>2</w:t>
            </w:r>
            <w:r w:rsidR="00361823" w:rsidRPr="00A66D5A">
              <w:t> December</w:t>
            </w:r>
            <w:r w:rsidR="00361823">
              <w:t> </w:t>
            </w:r>
            <w:r w:rsidRPr="00400B1C">
              <w:t>2019 that may have a direct/indirect impact on the financial statements and/or annual report.</w:t>
            </w:r>
          </w:p>
          <w:p w14:paraId="43476913" w14:textId="77777777" w:rsidR="00400B1C" w:rsidRPr="009472DA" w:rsidRDefault="00400B1C" w:rsidP="00400B1C">
            <w:pPr>
              <w:pStyle w:val="SingleLineText-Half"/>
            </w:pPr>
          </w:p>
        </w:tc>
      </w:tr>
    </w:tbl>
    <w:p w14:paraId="265E0B84" w14:textId="77777777" w:rsidR="00400B1C" w:rsidRDefault="00400B1C" w:rsidP="0061304D">
      <w:pPr>
        <w:pStyle w:val="SingleLineText-Half"/>
      </w:pPr>
    </w:p>
    <w:p w14:paraId="00EC99FA" w14:textId="77777777" w:rsidR="00400B1C" w:rsidRDefault="00400B1C" w:rsidP="00400B1C"/>
    <w:p w14:paraId="0FDBC931" w14:textId="77777777" w:rsidR="00400B1C" w:rsidRPr="008414C5" w:rsidRDefault="00400B1C" w:rsidP="00400B1C">
      <w:pPr>
        <w:sectPr w:rsidR="00400B1C" w:rsidRPr="008414C5" w:rsidSect="00A91642">
          <w:footerReference w:type="default" r:id="rId9"/>
          <w:pgSz w:w="11906" w:h="16838"/>
          <w:pgMar w:top="1418" w:right="1418" w:bottom="1134" w:left="1418" w:header="709" w:footer="709" w:gutter="0"/>
          <w:cols w:space="720"/>
        </w:sectPr>
      </w:pPr>
    </w:p>
    <w:p w14:paraId="7DC20735" w14:textId="77777777" w:rsidR="00400B1C" w:rsidRPr="009472DA" w:rsidRDefault="00400B1C" w:rsidP="00400B1C">
      <w:pPr>
        <w:pStyle w:val="CoverHeading1"/>
      </w:pPr>
    </w:p>
    <w:p w14:paraId="179B809E" w14:textId="77777777" w:rsidR="00400B1C" w:rsidRPr="009472DA" w:rsidRDefault="00400B1C" w:rsidP="00400B1C">
      <w:pPr>
        <w:pStyle w:val="CoverHeading1"/>
      </w:pPr>
      <w:r w:rsidRPr="009472DA">
        <w:t>Financial</w:t>
      </w:r>
    </w:p>
    <w:p w14:paraId="43A1EF1C" w14:textId="77777777" w:rsidR="00400B1C" w:rsidRPr="009472DA" w:rsidRDefault="00400B1C" w:rsidP="00400B1C">
      <w:pPr>
        <w:pStyle w:val="CoverHeading1"/>
      </w:pPr>
      <w:r w:rsidRPr="009472DA">
        <w:t>reporting issues</w:t>
      </w:r>
    </w:p>
    <w:p w14:paraId="365EEA7A" w14:textId="77777777" w:rsidR="00400B1C" w:rsidRPr="009472DA" w:rsidRDefault="00400B1C" w:rsidP="00400B1C">
      <w:pPr>
        <w:pStyle w:val="CoverHeading1"/>
      </w:pPr>
      <w:r w:rsidRPr="009472DA">
        <w:t>and developments</w:t>
      </w:r>
    </w:p>
    <w:p w14:paraId="725613F9" w14:textId="77777777" w:rsidR="00400B1C" w:rsidRPr="009472DA" w:rsidRDefault="00400B1C" w:rsidP="00400B1C">
      <w:pPr>
        <w:pStyle w:val="BodyText"/>
      </w:pPr>
    </w:p>
    <w:p w14:paraId="6B492680" w14:textId="5C884B63" w:rsidR="00400B1C" w:rsidRPr="009472DA" w:rsidRDefault="00400B1C" w:rsidP="00400B1C">
      <w:pPr>
        <w:pStyle w:val="CoverHeading2"/>
      </w:pPr>
      <w:r w:rsidRPr="009472DA">
        <w:t xml:space="preserve">Local </w:t>
      </w:r>
      <w:r w:rsidR="00361823">
        <w:t>G</w:t>
      </w:r>
      <w:r w:rsidR="00361823" w:rsidRPr="009472DA">
        <w:t>overnment</w:t>
      </w:r>
    </w:p>
    <w:p w14:paraId="7056DDD4" w14:textId="77777777" w:rsidR="00400B1C" w:rsidRPr="009472DA" w:rsidRDefault="00400B1C" w:rsidP="00400B1C">
      <w:pPr>
        <w:pStyle w:val="BodyText"/>
      </w:pPr>
    </w:p>
    <w:p w14:paraId="4F890C6B" w14:textId="4EFFFF31" w:rsidR="00400B1C" w:rsidRPr="009472DA" w:rsidRDefault="00361823" w:rsidP="00400B1C">
      <w:pPr>
        <w:pStyle w:val="CoverHeading2"/>
      </w:pPr>
      <w:r>
        <w:t>December</w:t>
      </w:r>
      <w:r w:rsidR="00400B1C" w:rsidRPr="003B494E">
        <w:t xml:space="preserve"> 201</w:t>
      </w:r>
      <w:r w:rsidR="00400B1C">
        <w:t>9</w:t>
      </w:r>
    </w:p>
    <w:p w14:paraId="57AE4F31" w14:textId="77777777" w:rsidR="00400B1C" w:rsidRPr="009472DA" w:rsidRDefault="00400B1C" w:rsidP="00400B1C"/>
    <w:p w14:paraId="55210156" w14:textId="77777777" w:rsidR="00400B1C" w:rsidRPr="009472DA" w:rsidRDefault="00400B1C" w:rsidP="00400B1C">
      <w:pPr>
        <w:sectPr w:rsidR="00400B1C" w:rsidRPr="009472DA" w:rsidSect="00A91642">
          <w:headerReference w:type="default" r:id="rId10"/>
          <w:footerReference w:type="default" r:id="rId11"/>
          <w:pgSz w:w="11906" w:h="16838"/>
          <w:pgMar w:top="1418" w:right="1418" w:bottom="1134" w:left="1418" w:header="709" w:footer="709" w:gutter="0"/>
          <w:cols w:space="720"/>
          <w:docGrid w:linePitch="272"/>
        </w:sectPr>
      </w:pPr>
    </w:p>
    <w:tbl>
      <w:tblPr>
        <w:tblW w:w="9072" w:type="dxa"/>
        <w:jc w:val="center"/>
        <w:tblLook w:val="04A0" w:firstRow="1" w:lastRow="0" w:firstColumn="1" w:lastColumn="0" w:noHBand="0" w:noVBand="1"/>
      </w:tblPr>
      <w:tblGrid>
        <w:gridCol w:w="3583"/>
        <w:gridCol w:w="1930"/>
        <w:gridCol w:w="3559"/>
      </w:tblGrid>
      <w:tr w:rsidR="00400B1C" w14:paraId="3B2991C4" w14:textId="77777777" w:rsidTr="003472C3">
        <w:trPr>
          <w:jc w:val="center"/>
        </w:trPr>
        <w:tc>
          <w:tcPr>
            <w:tcW w:w="9072" w:type="dxa"/>
            <w:gridSpan w:val="3"/>
            <w:hideMark/>
          </w:tcPr>
          <w:p w14:paraId="6E3D27B7" w14:textId="77777777" w:rsidR="00400B1C" w:rsidRPr="00400B1C" w:rsidRDefault="00400B1C" w:rsidP="00400B1C">
            <w:pPr>
              <w:pStyle w:val="Contentspageheading"/>
            </w:pPr>
            <w:r w:rsidRPr="009472DA">
              <w:t>contents</w:t>
            </w:r>
          </w:p>
        </w:tc>
      </w:tr>
      <w:tr w:rsidR="00400B1C" w14:paraId="530E176B" w14:textId="77777777" w:rsidTr="003472C3">
        <w:trPr>
          <w:trHeight w:val="161"/>
          <w:jc w:val="center"/>
        </w:trPr>
        <w:tc>
          <w:tcPr>
            <w:tcW w:w="3583" w:type="dxa"/>
          </w:tcPr>
          <w:p w14:paraId="44C9D076" w14:textId="77777777" w:rsidR="00400B1C" w:rsidRPr="009472DA" w:rsidRDefault="00400B1C" w:rsidP="00400B1C"/>
        </w:tc>
        <w:tc>
          <w:tcPr>
            <w:tcW w:w="1930" w:type="dxa"/>
            <w:tcBorders>
              <w:top w:val="single" w:sz="18" w:space="0" w:color="404040"/>
              <w:left w:val="nil"/>
              <w:bottom w:val="nil"/>
              <w:right w:val="nil"/>
            </w:tcBorders>
          </w:tcPr>
          <w:p w14:paraId="0D4F2AEB" w14:textId="77777777" w:rsidR="00400B1C" w:rsidRPr="009472DA" w:rsidRDefault="00400B1C" w:rsidP="00400B1C"/>
        </w:tc>
        <w:tc>
          <w:tcPr>
            <w:tcW w:w="3559" w:type="dxa"/>
          </w:tcPr>
          <w:p w14:paraId="312E2A00" w14:textId="77777777" w:rsidR="00400B1C" w:rsidRPr="009472DA" w:rsidRDefault="00400B1C" w:rsidP="00400B1C"/>
        </w:tc>
      </w:tr>
    </w:tbl>
    <w:p w14:paraId="5EA54068" w14:textId="77777777" w:rsidR="00400B1C" w:rsidRPr="009472DA" w:rsidRDefault="00400B1C" w:rsidP="00400B1C"/>
    <w:sdt>
      <w:sdtPr>
        <w:rPr>
          <w:rFonts w:eastAsiaTheme="majorEastAsia" w:cstheme="majorBidi"/>
          <w:noProof/>
          <w:szCs w:val="22"/>
        </w:rPr>
        <w:id w:val="-1397423049"/>
        <w:docPartObj>
          <w:docPartGallery w:val="Table of Contents"/>
          <w:docPartUnique/>
        </w:docPartObj>
      </w:sdtPr>
      <w:sdtEndPr/>
      <w:sdtContent>
        <w:p w14:paraId="04A4BC23" w14:textId="77777777" w:rsidR="00400B1C" w:rsidRPr="009472DA" w:rsidRDefault="00400B1C" w:rsidP="00400B1C">
          <w:pPr>
            <w:pStyle w:val="BodyText"/>
          </w:pPr>
        </w:p>
        <w:p w14:paraId="161AEAD6" w14:textId="55B1484C" w:rsidR="003A3D5A" w:rsidRDefault="00400B1C">
          <w:pPr>
            <w:pStyle w:val="TOC1"/>
            <w:rPr>
              <w:rFonts w:asciiTheme="minorHAnsi" w:eastAsiaTheme="minorEastAsia" w:hAnsiTheme="minorHAnsi" w:cstheme="minorBidi"/>
              <w:b w:val="0"/>
              <w:sz w:val="22"/>
              <w:szCs w:val="22"/>
              <w:lang w:eastAsia="zh-CN"/>
            </w:rPr>
          </w:pPr>
          <w:r w:rsidRPr="009472DA">
            <w:fldChar w:fldCharType="begin"/>
          </w:r>
          <w:r w:rsidRPr="009472DA">
            <w:instrText xml:space="preserve"> TOC \h \z \t "Heading 2,2,Heading 2 - Numbered,2,Heading 1 - Numbered RED,1,Heading 1 Red,1" </w:instrText>
          </w:r>
          <w:r w:rsidRPr="009472DA">
            <w:fldChar w:fldCharType="separate"/>
          </w:r>
          <w:hyperlink w:anchor="_Toc26256439" w:history="1">
            <w:r w:rsidR="003A3D5A" w:rsidRPr="004356EE">
              <w:rPr>
                <w:rStyle w:val="Hyperlink"/>
                <w:lang w:bidi="en-US"/>
              </w:rPr>
              <w:t>Financial reporting issues and developments</w:t>
            </w:r>
            <w:r w:rsidR="003A3D5A">
              <w:rPr>
                <w:webHidden/>
              </w:rPr>
              <w:tab/>
            </w:r>
            <w:r w:rsidR="003A3D5A">
              <w:rPr>
                <w:webHidden/>
              </w:rPr>
              <w:fldChar w:fldCharType="begin"/>
            </w:r>
            <w:r w:rsidR="003A3D5A">
              <w:rPr>
                <w:webHidden/>
              </w:rPr>
              <w:instrText xml:space="preserve"> PAGEREF _Toc26256439 \h </w:instrText>
            </w:r>
            <w:r w:rsidR="003A3D5A">
              <w:rPr>
                <w:webHidden/>
              </w:rPr>
            </w:r>
            <w:r w:rsidR="003A3D5A">
              <w:rPr>
                <w:webHidden/>
              </w:rPr>
              <w:fldChar w:fldCharType="separate"/>
            </w:r>
            <w:r w:rsidR="003A3D5A">
              <w:rPr>
                <w:webHidden/>
              </w:rPr>
              <w:t>1</w:t>
            </w:r>
            <w:r w:rsidR="003A3D5A">
              <w:rPr>
                <w:webHidden/>
              </w:rPr>
              <w:fldChar w:fldCharType="end"/>
            </w:r>
          </w:hyperlink>
        </w:p>
        <w:p w14:paraId="21AFBE74" w14:textId="5210260C" w:rsidR="003A3D5A" w:rsidRDefault="001F5E2E">
          <w:pPr>
            <w:pStyle w:val="TOC2"/>
            <w:rPr>
              <w:rFonts w:asciiTheme="minorHAnsi" w:eastAsiaTheme="minorEastAsia" w:hAnsiTheme="minorHAnsi" w:cstheme="minorBidi"/>
              <w:sz w:val="22"/>
              <w:lang w:eastAsia="zh-CN"/>
            </w:rPr>
          </w:pPr>
          <w:hyperlink w:anchor="_Toc26256440" w:history="1">
            <w:r w:rsidR="003A3D5A" w:rsidRPr="004356EE">
              <w:rPr>
                <w:rStyle w:val="Hyperlink"/>
              </w:rPr>
              <w:t>Future reporting developments</w:t>
            </w:r>
            <w:r w:rsidR="003A3D5A">
              <w:rPr>
                <w:webHidden/>
              </w:rPr>
              <w:tab/>
            </w:r>
            <w:r w:rsidR="003A3D5A">
              <w:rPr>
                <w:webHidden/>
              </w:rPr>
              <w:fldChar w:fldCharType="begin"/>
            </w:r>
            <w:r w:rsidR="003A3D5A">
              <w:rPr>
                <w:webHidden/>
              </w:rPr>
              <w:instrText xml:space="preserve"> PAGEREF _Toc26256440 \h </w:instrText>
            </w:r>
            <w:r w:rsidR="003A3D5A">
              <w:rPr>
                <w:webHidden/>
              </w:rPr>
            </w:r>
            <w:r w:rsidR="003A3D5A">
              <w:rPr>
                <w:webHidden/>
              </w:rPr>
              <w:fldChar w:fldCharType="separate"/>
            </w:r>
            <w:r w:rsidR="003A3D5A">
              <w:rPr>
                <w:webHidden/>
              </w:rPr>
              <w:t>1</w:t>
            </w:r>
            <w:r w:rsidR="003A3D5A">
              <w:rPr>
                <w:webHidden/>
              </w:rPr>
              <w:fldChar w:fldCharType="end"/>
            </w:r>
          </w:hyperlink>
        </w:p>
        <w:p w14:paraId="6E2A3025" w14:textId="7C595914" w:rsidR="003A3D5A" w:rsidRDefault="001F5E2E">
          <w:pPr>
            <w:pStyle w:val="TOC1"/>
            <w:rPr>
              <w:rFonts w:asciiTheme="minorHAnsi" w:eastAsiaTheme="minorEastAsia" w:hAnsiTheme="minorHAnsi" w:cstheme="minorBidi"/>
              <w:b w:val="0"/>
              <w:sz w:val="22"/>
              <w:szCs w:val="22"/>
              <w:lang w:eastAsia="zh-CN"/>
            </w:rPr>
          </w:pPr>
          <w:hyperlink w:anchor="_Toc26256441" w:history="1">
            <w:r w:rsidR="003A3D5A" w:rsidRPr="004356EE">
              <w:rPr>
                <w:rStyle w:val="Hyperlink"/>
                <w:lang w:bidi="en-US"/>
              </w:rPr>
              <w:t>Other new financial reporting pronouncements</w:t>
            </w:r>
            <w:r w:rsidR="003A3D5A">
              <w:rPr>
                <w:webHidden/>
              </w:rPr>
              <w:tab/>
            </w:r>
            <w:r w:rsidR="003A3D5A">
              <w:rPr>
                <w:webHidden/>
              </w:rPr>
              <w:fldChar w:fldCharType="begin"/>
            </w:r>
            <w:r w:rsidR="003A3D5A">
              <w:rPr>
                <w:webHidden/>
              </w:rPr>
              <w:instrText xml:space="preserve"> PAGEREF _Toc26256441 \h </w:instrText>
            </w:r>
            <w:r w:rsidR="003A3D5A">
              <w:rPr>
                <w:webHidden/>
              </w:rPr>
            </w:r>
            <w:r w:rsidR="003A3D5A">
              <w:rPr>
                <w:webHidden/>
              </w:rPr>
              <w:fldChar w:fldCharType="separate"/>
            </w:r>
            <w:r w:rsidR="003A3D5A">
              <w:rPr>
                <w:webHidden/>
              </w:rPr>
              <w:t>6</w:t>
            </w:r>
            <w:r w:rsidR="003A3D5A">
              <w:rPr>
                <w:webHidden/>
              </w:rPr>
              <w:fldChar w:fldCharType="end"/>
            </w:r>
          </w:hyperlink>
        </w:p>
        <w:p w14:paraId="6385EAA2" w14:textId="366434E1" w:rsidR="003A3D5A" w:rsidRDefault="001F5E2E">
          <w:pPr>
            <w:pStyle w:val="TOC2"/>
            <w:rPr>
              <w:rFonts w:asciiTheme="minorHAnsi" w:eastAsiaTheme="minorEastAsia" w:hAnsiTheme="minorHAnsi" w:cstheme="minorBidi"/>
              <w:sz w:val="22"/>
              <w:lang w:eastAsia="zh-CN"/>
            </w:rPr>
          </w:pPr>
          <w:hyperlink w:anchor="_Toc26256442" w:history="1">
            <w:r w:rsidR="003A3D5A" w:rsidRPr="004356EE">
              <w:rPr>
                <w:rStyle w:val="Hyperlink"/>
              </w:rPr>
              <w:t>Australian Accounting Standards</w:t>
            </w:r>
            <w:r w:rsidR="003A3D5A">
              <w:rPr>
                <w:webHidden/>
              </w:rPr>
              <w:tab/>
            </w:r>
            <w:r w:rsidR="003A3D5A">
              <w:rPr>
                <w:webHidden/>
              </w:rPr>
              <w:fldChar w:fldCharType="begin"/>
            </w:r>
            <w:r w:rsidR="003A3D5A">
              <w:rPr>
                <w:webHidden/>
              </w:rPr>
              <w:instrText xml:space="preserve"> PAGEREF _Toc26256442 \h </w:instrText>
            </w:r>
            <w:r w:rsidR="003A3D5A">
              <w:rPr>
                <w:webHidden/>
              </w:rPr>
            </w:r>
            <w:r w:rsidR="003A3D5A">
              <w:rPr>
                <w:webHidden/>
              </w:rPr>
              <w:fldChar w:fldCharType="separate"/>
            </w:r>
            <w:r w:rsidR="003A3D5A">
              <w:rPr>
                <w:webHidden/>
              </w:rPr>
              <w:t>6</w:t>
            </w:r>
            <w:r w:rsidR="003A3D5A">
              <w:rPr>
                <w:webHidden/>
              </w:rPr>
              <w:fldChar w:fldCharType="end"/>
            </w:r>
          </w:hyperlink>
        </w:p>
        <w:p w14:paraId="238737F9" w14:textId="2C4E35C2" w:rsidR="003A3D5A" w:rsidRDefault="001F5E2E">
          <w:pPr>
            <w:pStyle w:val="TOC2"/>
            <w:rPr>
              <w:rFonts w:asciiTheme="minorHAnsi" w:eastAsiaTheme="minorEastAsia" w:hAnsiTheme="minorHAnsi" w:cstheme="minorBidi"/>
              <w:sz w:val="22"/>
              <w:lang w:eastAsia="zh-CN"/>
            </w:rPr>
          </w:pPr>
          <w:hyperlink w:anchor="_Toc26256443" w:history="1">
            <w:r w:rsidR="003A3D5A" w:rsidRPr="004356EE">
              <w:rPr>
                <w:rStyle w:val="Hyperlink"/>
              </w:rPr>
              <w:t>Office of Local Government (OLG) publications</w:t>
            </w:r>
            <w:r w:rsidR="003A3D5A">
              <w:rPr>
                <w:webHidden/>
              </w:rPr>
              <w:tab/>
            </w:r>
            <w:r w:rsidR="003A3D5A">
              <w:rPr>
                <w:webHidden/>
              </w:rPr>
              <w:fldChar w:fldCharType="begin"/>
            </w:r>
            <w:r w:rsidR="003A3D5A">
              <w:rPr>
                <w:webHidden/>
              </w:rPr>
              <w:instrText xml:space="preserve"> PAGEREF _Toc26256443 \h </w:instrText>
            </w:r>
            <w:r w:rsidR="003A3D5A">
              <w:rPr>
                <w:webHidden/>
              </w:rPr>
            </w:r>
            <w:r w:rsidR="003A3D5A">
              <w:rPr>
                <w:webHidden/>
              </w:rPr>
              <w:fldChar w:fldCharType="separate"/>
            </w:r>
            <w:r w:rsidR="003A3D5A">
              <w:rPr>
                <w:webHidden/>
              </w:rPr>
              <w:t>8</w:t>
            </w:r>
            <w:r w:rsidR="003A3D5A">
              <w:rPr>
                <w:webHidden/>
              </w:rPr>
              <w:fldChar w:fldCharType="end"/>
            </w:r>
          </w:hyperlink>
        </w:p>
        <w:p w14:paraId="1A985EA0" w14:textId="77777777" w:rsidR="00400B1C" w:rsidRPr="009472DA" w:rsidRDefault="00400B1C" w:rsidP="00400B1C">
          <w:pPr>
            <w:pStyle w:val="TOC3"/>
          </w:pPr>
          <w:r w:rsidRPr="009472DA">
            <w:fldChar w:fldCharType="end"/>
          </w:r>
        </w:p>
      </w:sdtContent>
    </w:sdt>
    <w:p w14:paraId="6272EEF3" w14:textId="77777777" w:rsidR="00400B1C" w:rsidRPr="009472DA" w:rsidRDefault="00400B1C" w:rsidP="00400B1C"/>
    <w:p w14:paraId="6E45BD69" w14:textId="77777777" w:rsidR="00400B1C" w:rsidRPr="009472DA" w:rsidRDefault="00400B1C" w:rsidP="00400B1C"/>
    <w:p w14:paraId="04805CE2" w14:textId="77777777" w:rsidR="00400B1C" w:rsidRPr="009472DA" w:rsidRDefault="00400B1C" w:rsidP="00400B1C">
      <w:pPr>
        <w:sectPr w:rsidR="00400B1C" w:rsidRPr="009472DA">
          <w:headerReference w:type="default" r:id="rId12"/>
          <w:footerReference w:type="default" r:id="rId13"/>
          <w:pgSz w:w="11906" w:h="16838"/>
          <w:pgMar w:top="1440" w:right="1440" w:bottom="1440" w:left="1440" w:header="708" w:footer="708" w:gutter="0"/>
          <w:cols w:space="720"/>
        </w:sectPr>
      </w:pPr>
    </w:p>
    <w:p w14:paraId="4B7807C4" w14:textId="77777777" w:rsidR="00400B1C" w:rsidRPr="009472DA" w:rsidRDefault="00400B1C" w:rsidP="00400B1C">
      <w:pPr>
        <w:pStyle w:val="Heading1Red"/>
      </w:pPr>
      <w:bookmarkStart w:id="1" w:name="_Toc26256439"/>
      <w:r w:rsidRPr="009472DA">
        <w:t>Financial reporting issues and developments</w:t>
      </w:r>
      <w:bookmarkEnd w:id="1"/>
    </w:p>
    <w:p w14:paraId="56CED6D9" w14:textId="77777777" w:rsidR="00400B1C" w:rsidRPr="009472DA" w:rsidRDefault="00400B1C" w:rsidP="00400B1C">
      <w:pPr>
        <w:pStyle w:val="BodyText"/>
      </w:pPr>
      <w:r w:rsidRPr="009472DA">
        <w:t>The table below detail</w:t>
      </w:r>
      <w:r>
        <w:t>s</w:t>
      </w:r>
      <w:r w:rsidRPr="009472DA">
        <w:t xml:space="preserve"> c</w:t>
      </w:r>
      <w:r>
        <w:t xml:space="preserve">urrent issues and </w:t>
      </w:r>
      <w:r w:rsidRPr="009472DA">
        <w:t xml:space="preserve">financial reporting developments that may impact your </w:t>
      </w:r>
      <w:r>
        <w:t>c</w:t>
      </w:r>
      <w:r w:rsidRPr="009472DA">
        <w:t>ouncil’s</w:t>
      </w:r>
      <w:r>
        <w:t>/joint organisation’s (JOs)</w:t>
      </w:r>
      <w:r w:rsidRPr="009472DA">
        <w:t xml:space="preserve"> financial statements. Management should review these issues and developments, determine those applicable to the </w:t>
      </w:r>
      <w:r>
        <w:t>c</w:t>
      </w:r>
      <w:r w:rsidRPr="009472DA">
        <w:t>ouncil</w:t>
      </w:r>
      <w:r>
        <w:t>/JO</w:t>
      </w:r>
      <w:r w:rsidRPr="009472DA">
        <w:t xml:space="preserve"> and assess the impact on the financial statements and annual report. Where this relates to an accounting standard issued but not yet effective, management should disclose the anticipated impact of the standard </w:t>
      </w:r>
      <w:r>
        <w:t>i</w:t>
      </w:r>
      <w:r w:rsidRPr="009472DA">
        <w:t>n their financial statements. Management may consult their audit team for further information and explanation on the issues and developments detailed below.</w:t>
      </w:r>
    </w:p>
    <w:p w14:paraId="58152B35" w14:textId="5529C0FC" w:rsidR="00400B1C" w:rsidRDefault="00400B1C" w:rsidP="00400B1C">
      <w:pPr>
        <w:pStyle w:val="BodyText"/>
      </w:pPr>
      <w:r w:rsidRPr="009472DA">
        <w:t>Councils</w:t>
      </w:r>
      <w:r>
        <w:t>/JOs</w:t>
      </w:r>
      <w:r w:rsidRPr="009472DA">
        <w:t xml:space="preserve"> should refer to the Office of Local Government’s (OLG)</w:t>
      </w:r>
      <w:r w:rsidR="00686D73">
        <w:rPr>
          <w:rStyle w:val="FootnoteReference"/>
        </w:rPr>
        <w:footnoteReference w:id="1"/>
      </w:r>
      <w:r w:rsidRPr="009472DA">
        <w:t xml:space="preserve"> Code of Accounting Practice and Financial Reporting for mandates on accounting policy options and major policy decisions under Australian Accounting Standards when determining if an accounting standard can be early adopted.</w:t>
      </w:r>
    </w:p>
    <w:p w14:paraId="3F276B11" w14:textId="77777777" w:rsidR="00400B1C" w:rsidRPr="009472DA" w:rsidRDefault="00400B1C" w:rsidP="00400B1C">
      <w:pPr>
        <w:pStyle w:val="BodyText"/>
      </w:pPr>
      <w:r w:rsidRPr="00E23733">
        <w:t>The issues below apply to all entities, where applicable</w:t>
      </w:r>
      <w:r w:rsidRPr="009472DA">
        <w:t>.</w:t>
      </w:r>
    </w:p>
    <w:p w14:paraId="66434AB5" w14:textId="77777777" w:rsidR="00400B1C" w:rsidRPr="00E23733" w:rsidRDefault="00400B1C" w:rsidP="00400B1C">
      <w:pPr>
        <w:pStyle w:val="Heading2"/>
      </w:pPr>
      <w:bookmarkStart w:id="2" w:name="_Toc26256440"/>
      <w:r w:rsidRPr="00E23733">
        <w:t>Future reporting developments</w:t>
      </w:r>
      <w:bookmarkEnd w:id="2"/>
    </w:p>
    <w:p w14:paraId="3E95F24C" w14:textId="77777777" w:rsidR="00400B1C" w:rsidRPr="00AD7B44" w:rsidRDefault="00400B1C" w:rsidP="0061304D">
      <w:pPr>
        <w:pStyle w:val="Heading-LeftSmall"/>
      </w:pPr>
      <w:r w:rsidRPr="00A66D5A">
        <w:rPr>
          <w:color w:val="D64B46"/>
        </w:rPr>
        <w:t>Issue 1: AASB 15 ‘Revenue from Contracts with Customers’ and AASB 1058 ‘Income of Not</w:t>
      </w:r>
      <w:r w:rsidRPr="00A66D5A">
        <w:rPr>
          <w:color w:val="D64B46"/>
        </w:rPr>
        <w:noBreakHyphen/>
        <w:t>for</w:t>
      </w:r>
      <w:r w:rsidRPr="00A66D5A">
        <w:rPr>
          <w:color w:val="D64B46"/>
        </w:rPr>
        <w:noBreakHyphen/>
        <w:t>Profit Entities’</w:t>
      </w:r>
    </w:p>
    <w:tbl>
      <w:tblPr>
        <w:tblW w:w="9072" w:type="dxa"/>
        <w:tblBorders>
          <w:bottom w:val="single" w:sz="4" w:space="0" w:color="auto"/>
        </w:tblBorders>
        <w:tblLayout w:type="fixed"/>
        <w:tblLook w:val="04A0" w:firstRow="1" w:lastRow="0" w:firstColumn="1" w:lastColumn="0" w:noHBand="0" w:noVBand="1"/>
      </w:tblPr>
      <w:tblGrid>
        <w:gridCol w:w="7088"/>
        <w:gridCol w:w="1984"/>
      </w:tblGrid>
      <w:tr w:rsidR="00400B1C" w14:paraId="28443302" w14:textId="77777777" w:rsidTr="003A3D5A">
        <w:trPr>
          <w:tblHeader/>
        </w:trPr>
        <w:tc>
          <w:tcPr>
            <w:tcW w:w="7088" w:type="dxa"/>
            <w:tcBorders>
              <w:bottom w:val="single" w:sz="18" w:space="0" w:color="D9AD5F"/>
            </w:tcBorders>
            <w:shd w:val="clear" w:color="auto" w:fill="auto"/>
            <w:hideMark/>
          </w:tcPr>
          <w:p w14:paraId="197D20B5" w14:textId="77777777" w:rsidR="00400B1C" w:rsidRPr="00400B1C" w:rsidRDefault="00400B1C" w:rsidP="00400B1C">
            <w:pPr>
              <w:pStyle w:val="Tableheading-leftaligned"/>
            </w:pPr>
            <w:r w:rsidRPr="009472DA">
              <w:t>Overview</w:t>
            </w:r>
          </w:p>
        </w:tc>
        <w:tc>
          <w:tcPr>
            <w:tcW w:w="1984" w:type="dxa"/>
            <w:tcBorders>
              <w:bottom w:val="single" w:sz="18" w:space="0" w:color="D9AD5F"/>
            </w:tcBorders>
            <w:shd w:val="clear" w:color="auto" w:fill="auto"/>
            <w:hideMark/>
          </w:tcPr>
          <w:p w14:paraId="705C8416" w14:textId="77777777" w:rsidR="00400B1C" w:rsidRPr="00400B1C" w:rsidRDefault="00400B1C" w:rsidP="00400B1C">
            <w:pPr>
              <w:pStyle w:val="Tableheading-leftaligned"/>
            </w:pPr>
            <w:r w:rsidRPr="009472DA">
              <w:t>Applies to</w:t>
            </w:r>
          </w:p>
        </w:tc>
      </w:tr>
      <w:tr w:rsidR="00E51131" w14:paraId="65B7F13E" w14:textId="77777777" w:rsidTr="003A3D5A">
        <w:tc>
          <w:tcPr>
            <w:tcW w:w="9072" w:type="dxa"/>
            <w:gridSpan w:val="2"/>
            <w:tcBorders>
              <w:top w:val="single" w:sz="18" w:space="0" w:color="D9AD5F"/>
              <w:bottom w:val="nil"/>
            </w:tcBorders>
            <w:shd w:val="clear" w:color="auto" w:fill="EFEFF0"/>
            <w:hideMark/>
          </w:tcPr>
          <w:p w14:paraId="5B65A6AC" w14:textId="77777777" w:rsidR="00E51131" w:rsidRPr="009472DA" w:rsidRDefault="00E51131" w:rsidP="00400B1C">
            <w:pPr>
              <w:pStyle w:val="Tableheading-leftaligned"/>
            </w:pPr>
            <w:r w:rsidRPr="009472DA">
              <w:t>AASB 15 ‘Revenue</w:t>
            </w:r>
            <w:r w:rsidRPr="00400B1C">
              <w:t xml:space="preserve"> from Contracts with Customers’</w:t>
            </w:r>
          </w:p>
        </w:tc>
      </w:tr>
      <w:tr w:rsidR="00400B1C" w14:paraId="7B67631E" w14:textId="77777777" w:rsidTr="003A3D5A">
        <w:tc>
          <w:tcPr>
            <w:tcW w:w="7088" w:type="dxa"/>
            <w:tcBorders>
              <w:top w:val="nil"/>
            </w:tcBorders>
          </w:tcPr>
          <w:p w14:paraId="5CAED2C7" w14:textId="77777777" w:rsidR="00683AED" w:rsidRDefault="00400B1C" w:rsidP="00400B1C">
            <w:pPr>
              <w:pStyle w:val="Tabletext"/>
            </w:pPr>
            <w:r w:rsidRPr="001714A4">
              <w:t>In</w:t>
            </w:r>
            <w:r w:rsidR="007012FB">
              <w:t> December </w:t>
            </w:r>
            <w:r w:rsidRPr="00400B1C">
              <w:t>2014, the AASB issued a new standard AASB 15 ‘Revenue from Contracts with Customers’.</w:t>
            </w:r>
          </w:p>
          <w:p w14:paraId="39D914C7" w14:textId="77777777" w:rsidR="00400B1C" w:rsidRPr="00400B1C" w:rsidRDefault="00400B1C" w:rsidP="00400B1C">
            <w:pPr>
              <w:pStyle w:val="Tabletext"/>
            </w:pPr>
            <w:r w:rsidRPr="001714A4">
              <w:t>AASB 15 introduces a new five step</w:t>
            </w:r>
            <w:r w:rsidRPr="001714A4">
              <w:noBreakHyphen/>
              <w:t xml:space="preserve">model for recognising revenue based on the principle that revenue is recognised when </w:t>
            </w:r>
            <w:r w:rsidRPr="00400B1C">
              <w:t>control of a good or service transfers to a customer. It will impact councils/JOs providing goods or services under contract arrangements, especially those offering bundled products and services, providing warranties or rebates, or contracts with variable consideration.</w:t>
            </w:r>
          </w:p>
          <w:p w14:paraId="57FEF321" w14:textId="1C5A3ECC" w:rsidR="00400B1C" w:rsidRPr="00400B1C" w:rsidRDefault="00400B1C" w:rsidP="00400B1C">
            <w:pPr>
              <w:pStyle w:val="Tabletext"/>
            </w:pPr>
            <w:r w:rsidRPr="00B5366A">
              <w:t>In</w:t>
            </w:r>
            <w:r w:rsidR="007012FB">
              <w:t> May </w:t>
            </w:r>
            <w:r w:rsidRPr="00400B1C">
              <w:t>2016, AASB 2016</w:t>
            </w:r>
            <w:r w:rsidRPr="00400B1C">
              <w:noBreakHyphen/>
              <w:t xml:space="preserve">3 ‘Amendments to Australian Accounting Standards </w:t>
            </w:r>
            <w:r w:rsidR="000E527B">
              <w:t>–</w:t>
            </w:r>
            <w:r w:rsidRPr="00400B1C">
              <w:t xml:space="preserve"> Clarifications to AASB 15’ amended AASB 15 to:</w:t>
            </w:r>
          </w:p>
          <w:p w14:paraId="6AC214D9" w14:textId="77777777" w:rsidR="00683AED" w:rsidRDefault="00400B1C" w:rsidP="00400B1C">
            <w:pPr>
              <w:pStyle w:val="Tablebullet"/>
            </w:pPr>
            <w:r w:rsidRPr="009472DA">
              <w:t>clarify the requirements for identifying performance obligations, principal versus agent considerations and the timing of revenue recognition from granting a licence</w:t>
            </w:r>
          </w:p>
          <w:p w14:paraId="32A6BD32" w14:textId="2727C07E" w:rsidR="00683AED" w:rsidRDefault="00400B1C" w:rsidP="00400B1C">
            <w:pPr>
              <w:pStyle w:val="Tablebullet"/>
            </w:pPr>
            <w:r w:rsidRPr="009472DA">
              <w:t>provide further practical expedients on transition to AASB 15</w:t>
            </w:r>
            <w:r w:rsidR="000E527B">
              <w:t>.</w:t>
            </w:r>
          </w:p>
          <w:p w14:paraId="3B106F53" w14:textId="77777777" w:rsidR="000E527B" w:rsidRDefault="000E527B" w:rsidP="00A66D5A">
            <w:pPr>
              <w:pStyle w:val="SingleLineText-Half"/>
            </w:pPr>
          </w:p>
          <w:p w14:paraId="5875AF37" w14:textId="0197968E" w:rsidR="00683AED" w:rsidRPr="00400B1C" w:rsidRDefault="00400B1C" w:rsidP="003A3D5A">
            <w:pPr>
              <w:pStyle w:val="Tablebullet"/>
              <w:numPr>
                <w:ilvl w:val="0"/>
                <w:numId w:val="0"/>
              </w:numPr>
            </w:pPr>
            <w:r w:rsidRPr="009472DA">
              <w:t>The impact of AASB 15 on</w:t>
            </w:r>
            <w:r w:rsidR="009D4131">
              <w:t xml:space="preserve"> not-for-profit</w:t>
            </w:r>
            <w:r w:rsidR="003B5745">
              <w:t xml:space="preserve"> (</w:t>
            </w:r>
            <w:r w:rsidRPr="009472DA">
              <w:t>NFP</w:t>
            </w:r>
            <w:r w:rsidR="003B5745">
              <w:t>)</w:t>
            </w:r>
            <w:r w:rsidRPr="009472DA">
              <w:t xml:space="preserve"> </w:t>
            </w:r>
            <w:r w:rsidRPr="00400B1C">
              <w:t xml:space="preserve">entities should be considered in conjunction with the requirements in AASB </w:t>
            </w:r>
            <w:r w:rsidRPr="00400B1C">
              <w:rPr>
                <w:rFonts w:eastAsia="Calibri"/>
              </w:rPr>
              <w:t>1058</w:t>
            </w:r>
            <w:r w:rsidRPr="00400B1C">
              <w:t xml:space="preserve"> (refer below).</w:t>
            </w:r>
          </w:p>
        </w:tc>
        <w:tc>
          <w:tcPr>
            <w:tcW w:w="1984" w:type="dxa"/>
            <w:tcBorders>
              <w:top w:val="nil"/>
            </w:tcBorders>
          </w:tcPr>
          <w:p w14:paraId="35CFB0BD" w14:textId="0EB67D42" w:rsidR="00400B1C" w:rsidRPr="00400B1C" w:rsidRDefault="00400B1C" w:rsidP="00400B1C">
            <w:pPr>
              <w:pStyle w:val="Tabletext"/>
            </w:pPr>
            <w:r w:rsidRPr="009472DA">
              <w:t>For</w:t>
            </w:r>
            <w:r w:rsidRPr="009472DA">
              <w:noBreakHyphen/>
              <w:t xml:space="preserve">profit entities </w:t>
            </w:r>
            <w:r w:rsidRPr="00400B1C">
              <w:t>for annual reporting periods beginning on or after 1</w:t>
            </w:r>
            <w:r w:rsidR="007012FB">
              <w:t> January </w:t>
            </w:r>
            <w:r w:rsidRPr="00400B1C">
              <w:t>2018</w:t>
            </w:r>
          </w:p>
          <w:p w14:paraId="7BBC21BE" w14:textId="09EFFAD6" w:rsidR="00400B1C" w:rsidRPr="00400B1C" w:rsidRDefault="00400B1C" w:rsidP="00400B1C">
            <w:pPr>
              <w:pStyle w:val="Tabletext"/>
            </w:pPr>
            <w:r w:rsidRPr="009472DA">
              <w:t>Not</w:t>
            </w:r>
            <w:r w:rsidRPr="009472DA">
              <w:noBreakHyphen/>
              <w:t>for</w:t>
            </w:r>
            <w:r w:rsidRPr="009472DA">
              <w:noBreakHyphen/>
              <w:t>profit entities for annual reporting periods beginning on or after 1</w:t>
            </w:r>
            <w:r w:rsidR="007012FB">
              <w:t> January </w:t>
            </w:r>
            <w:r w:rsidRPr="00400B1C">
              <w:t>2019</w:t>
            </w:r>
          </w:p>
        </w:tc>
      </w:tr>
      <w:tr w:rsidR="00400B1C" w14:paraId="1B7BB85F" w14:textId="77777777" w:rsidTr="003A3D5A">
        <w:tc>
          <w:tcPr>
            <w:tcW w:w="9072" w:type="dxa"/>
            <w:gridSpan w:val="2"/>
            <w:shd w:val="clear" w:color="auto" w:fill="EFEFF0"/>
            <w:hideMark/>
          </w:tcPr>
          <w:p w14:paraId="485261B8" w14:textId="77777777" w:rsidR="00400B1C" w:rsidRPr="00400B1C" w:rsidRDefault="00E51131" w:rsidP="00400B1C">
            <w:pPr>
              <w:pStyle w:val="Tableheading-leftaligned"/>
            </w:pPr>
            <w:r w:rsidRPr="009472DA">
              <w:t>AASB</w:t>
            </w:r>
            <w:r>
              <w:t xml:space="preserve"> </w:t>
            </w:r>
            <w:r w:rsidR="00400B1C" w:rsidRPr="009472DA">
              <w:t>1058 ‘Income of Not</w:t>
            </w:r>
            <w:r w:rsidR="00400B1C" w:rsidRPr="009472DA">
              <w:noBreakHyphen/>
              <w:t>for</w:t>
            </w:r>
            <w:r w:rsidR="00400B1C" w:rsidRPr="009472DA">
              <w:noBreakHyphen/>
              <w:t>Profit Entities’</w:t>
            </w:r>
          </w:p>
        </w:tc>
      </w:tr>
      <w:tr w:rsidR="00400B1C" w14:paraId="6B1C8307" w14:textId="77777777" w:rsidTr="0061304D">
        <w:tc>
          <w:tcPr>
            <w:tcW w:w="7088" w:type="dxa"/>
          </w:tcPr>
          <w:p w14:paraId="745CD6E5" w14:textId="77777777" w:rsidR="00400B1C" w:rsidRPr="00400B1C" w:rsidRDefault="00400B1C" w:rsidP="00400B1C">
            <w:pPr>
              <w:pStyle w:val="Tabletext"/>
            </w:pPr>
            <w:r w:rsidRPr="009472DA">
              <w:t>AASB 1058 applies to:</w:t>
            </w:r>
          </w:p>
          <w:p w14:paraId="28AD0CD9" w14:textId="77777777" w:rsidR="00400B1C" w:rsidRPr="00400B1C" w:rsidRDefault="00400B1C" w:rsidP="00400B1C">
            <w:pPr>
              <w:pStyle w:val="Tablebullet"/>
            </w:pPr>
            <w:r w:rsidRPr="009472DA">
              <w:t xml:space="preserve">transactions where </w:t>
            </w:r>
            <w:r w:rsidRPr="00400B1C">
              <w:t>consideration to acquire an asset is significantly less than fair value, principally to enable a NFP entity to further its objectives</w:t>
            </w:r>
          </w:p>
          <w:p w14:paraId="11D2ABD7" w14:textId="77777777" w:rsidR="00400B1C" w:rsidRDefault="00400B1C" w:rsidP="00400B1C">
            <w:pPr>
              <w:pStyle w:val="Tablebullet"/>
            </w:pPr>
            <w:r w:rsidRPr="009472DA">
              <w:t>receipt of volunteer services.</w:t>
            </w:r>
          </w:p>
          <w:p w14:paraId="5A1703C3" w14:textId="77777777" w:rsidR="00E51131" w:rsidRPr="00400B1C" w:rsidRDefault="00E51131" w:rsidP="0061304D">
            <w:pPr>
              <w:pStyle w:val="SingleLineText-Half"/>
            </w:pPr>
          </w:p>
          <w:p w14:paraId="3FF83392" w14:textId="77777777" w:rsidR="00400B1C" w:rsidRPr="00400B1C" w:rsidRDefault="00400B1C" w:rsidP="00400B1C">
            <w:pPr>
              <w:pStyle w:val="Tabletext"/>
            </w:pPr>
            <w:r w:rsidRPr="009472DA">
              <w:t>On initial recognition of an asset an entity must recognise any related contributions by owners, increases in liabilities, decreases in assets and revenue (‘related amounts’) in accordance with other Australian Accounting Standards.</w:t>
            </w:r>
          </w:p>
          <w:p w14:paraId="2FDF38D0" w14:textId="77777777" w:rsidR="00683AED" w:rsidRDefault="00400B1C" w:rsidP="00400B1C">
            <w:pPr>
              <w:pStyle w:val="Tabletext"/>
            </w:pPr>
            <w:r w:rsidRPr="009472DA">
              <w:t>Entities must immediately recognise the difference between the fair value of the asset and any related amounts as income in the profit and loss. However, if the transaction enables the entity to acquire or construct a recognisable non</w:t>
            </w:r>
            <w:r w:rsidRPr="009472DA">
              <w:noBreakHyphen/>
              <w:t>financial asset controlled by the entity (i.e. an in-substance acquisition of a non</w:t>
            </w:r>
            <w:r w:rsidRPr="009472DA">
              <w:noBreakHyphen/>
              <w:t>financial asset), the entity may recognise income as it satisfies its obligations under the transfer (similar to income recognition for performance obligations under AASB 15).</w:t>
            </w:r>
          </w:p>
          <w:p w14:paraId="21935610" w14:textId="77777777" w:rsidR="00683AED" w:rsidRDefault="00400B1C" w:rsidP="00400B1C">
            <w:pPr>
              <w:pStyle w:val="Tabletext"/>
            </w:pPr>
            <w:r w:rsidRPr="009472DA">
              <w:t>A transfer of a financial asset to acquire or construct a recognisable non</w:t>
            </w:r>
            <w:r w:rsidRPr="009472DA">
              <w:noBreakHyphen/>
              <w:t>financial asset controlled by the entity is one that:</w:t>
            </w:r>
          </w:p>
          <w:p w14:paraId="2C5956C4" w14:textId="77777777" w:rsidR="00683AED" w:rsidRDefault="00400B1C" w:rsidP="00400B1C">
            <w:pPr>
              <w:pStyle w:val="Tablebullet"/>
            </w:pPr>
            <w:r w:rsidRPr="009472DA">
              <w:t>requires the entity to use that financial asset to acquire or construct a recognisable non</w:t>
            </w:r>
            <w:r w:rsidRPr="009472DA">
              <w:noBreakHyphen/>
              <w:t>financial asset to identified specifications</w:t>
            </w:r>
          </w:p>
          <w:p w14:paraId="7A626475" w14:textId="77777777" w:rsidR="00683AED" w:rsidRDefault="00400B1C" w:rsidP="00400B1C">
            <w:pPr>
              <w:pStyle w:val="Tablebullet"/>
            </w:pPr>
            <w:r w:rsidRPr="009472DA">
              <w:t>does not require the entity to transfer the non</w:t>
            </w:r>
            <w:r w:rsidRPr="009472DA">
              <w:noBreakHyphen/>
              <w:t>financial asset to the transferor or other parties</w:t>
            </w:r>
          </w:p>
          <w:p w14:paraId="2BB4D2BE" w14:textId="77777777" w:rsidR="00E51131" w:rsidRDefault="00400B1C" w:rsidP="00400B1C">
            <w:pPr>
              <w:pStyle w:val="Tablebullet"/>
            </w:pPr>
            <w:r w:rsidRPr="009472DA">
              <w:t>occurs under an enforceable agreement.</w:t>
            </w:r>
          </w:p>
          <w:p w14:paraId="53058EC6" w14:textId="77777777" w:rsidR="00683AED" w:rsidRDefault="00683AED" w:rsidP="0061304D">
            <w:pPr>
              <w:pStyle w:val="SingleLineText-Half"/>
            </w:pPr>
          </w:p>
          <w:p w14:paraId="17433446" w14:textId="2C2B837A" w:rsidR="00400B1C" w:rsidRPr="00400B1C" w:rsidRDefault="00400B1C" w:rsidP="00400B1C">
            <w:pPr>
              <w:pStyle w:val="Tabletext"/>
            </w:pPr>
            <w:r w:rsidRPr="009472DA">
              <w:t>Local governments, government departments, general government sectors (GGSs) and whole of governments must recognise voluntee</w:t>
            </w:r>
            <w:r w:rsidR="00947671">
              <w:t>r</w:t>
            </w:r>
            <w:r w:rsidRPr="009472DA">
              <w:t xml:space="preserve"> services if:</w:t>
            </w:r>
          </w:p>
          <w:p w14:paraId="08391BF4" w14:textId="77777777" w:rsidR="00683AED" w:rsidRDefault="00400B1C" w:rsidP="00400B1C">
            <w:pPr>
              <w:pStyle w:val="Tablebullet"/>
            </w:pPr>
            <w:r w:rsidRPr="009472DA">
              <w:t>they would have been purchased if not provided voluntarily</w:t>
            </w:r>
          </w:p>
          <w:p w14:paraId="11F20DCD" w14:textId="77777777" w:rsidR="00400B1C" w:rsidRDefault="00400B1C" w:rsidP="00400B1C">
            <w:pPr>
              <w:pStyle w:val="Tablebullet"/>
            </w:pPr>
            <w:r w:rsidRPr="009472DA">
              <w:t>the fair value of those services can be measured reliably.</w:t>
            </w:r>
          </w:p>
          <w:p w14:paraId="0E0820C1" w14:textId="77777777" w:rsidR="00E51131" w:rsidRPr="00400B1C" w:rsidRDefault="00E51131" w:rsidP="0061304D">
            <w:pPr>
              <w:pStyle w:val="SingleLineText-Half"/>
            </w:pPr>
          </w:p>
          <w:p w14:paraId="68DD5730" w14:textId="77777777" w:rsidR="00400B1C" w:rsidRPr="00400B1C" w:rsidRDefault="00400B1C" w:rsidP="00400B1C">
            <w:pPr>
              <w:pStyle w:val="Tabletext"/>
            </w:pPr>
            <w:r w:rsidRPr="009472DA">
              <w:t>For</w:t>
            </w:r>
            <w:r w:rsidRPr="009472DA">
              <w:noBreakHyphen/>
              <w:t>profit entities will continue to account for grants and contributions under AASB 120 ‘Accounting for Government Grants and Disclosure of Government Assistance’.</w:t>
            </w:r>
          </w:p>
          <w:p w14:paraId="0E66CCCB" w14:textId="77777777" w:rsidR="00400B1C" w:rsidRPr="00400B1C" w:rsidRDefault="00400B1C" w:rsidP="00400B1C">
            <w:pPr>
              <w:pStyle w:val="Tabletext"/>
            </w:pPr>
            <w:r w:rsidRPr="009472DA">
              <w:t xml:space="preserve">Full or modified retrospective application </w:t>
            </w:r>
            <w:r w:rsidRPr="00400B1C">
              <w:t>is required on initial adoption of AASB 1058. The transitional provisions include practical expedients for completed contracts and assets acquired for consideration significantly less than fair value principally to enable the entity to further its objectives.</w:t>
            </w:r>
          </w:p>
          <w:p w14:paraId="18CB40FE" w14:textId="77777777" w:rsidR="00400B1C" w:rsidRPr="00400B1C" w:rsidRDefault="00400B1C" w:rsidP="00400B1C">
            <w:pPr>
              <w:pStyle w:val="Tabletext"/>
            </w:pPr>
            <w:r w:rsidRPr="009472DA">
              <w:t>Practical examples accompany AASB 1058 demonstrating how a NFP entity applies the requirements in practice.</w:t>
            </w:r>
          </w:p>
          <w:p w14:paraId="4889216C" w14:textId="77777777" w:rsidR="00400B1C" w:rsidRPr="00400B1C" w:rsidRDefault="00400B1C" w:rsidP="00400B1C">
            <w:pPr>
              <w:pStyle w:val="Tabletext"/>
            </w:pPr>
            <w:r w:rsidRPr="009472DA">
              <w:t>OLG ha</w:t>
            </w:r>
            <w:r w:rsidRPr="00400B1C">
              <w:t xml:space="preserve">s released guidance on the </w:t>
            </w:r>
            <w:hyperlink r:id="rId14" w:history="1">
              <w:r w:rsidRPr="00400B1C">
                <w:rPr>
                  <w:rStyle w:val="Hyperlink"/>
                </w:rPr>
                <w:t>financial reporting options</w:t>
              </w:r>
            </w:hyperlink>
            <w:r w:rsidRPr="00400B1C">
              <w:t xml:space="preserve"> councils/JOs must elect on transition to AASB 15 and AASB 1058. The guidance mandates:</w:t>
            </w:r>
          </w:p>
          <w:p w14:paraId="4FD3FB35" w14:textId="77777777" w:rsidR="00683AED" w:rsidRDefault="00400B1C" w:rsidP="00400B1C">
            <w:pPr>
              <w:pStyle w:val="Tablebullet"/>
            </w:pPr>
            <w:r>
              <w:t xml:space="preserve">the </w:t>
            </w:r>
            <w:r w:rsidRPr="00400B1C">
              <w:t>adoption of the modified retrospective approach on transition</w:t>
            </w:r>
          </w:p>
          <w:p w14:paraId="12590B54" w14:textId="77777777" w:rsidR="00400B1C" w:rsidRPr="00400B1C" w:rsidRDefault="00400B1C" w:rsidP="00400B1C">
            <w:pPr>
              <w:pStyle w:val="Tablebullet"/>
            </w:pPr>
            <w:r w:rsidRPr="009472DA">
              <w:t xml:space="preserve">the practical expedients </w:t>
            </w:r>
            <w:r w:rsidRPr="00400B1C">
              <w:t>that must/must not be applied on transition</w:t>
            </w:r>
          </w:p>
          <w:p w14:paraId="7D145EA4" w14:textId="77777777" w:rsidR="00400B1C" w:rsidRPr="00400B1C" w:rsidRDefault="00400B1C" w:rsidP="00400B1C">
            <w:pPr>
              <w:pStyle w:val="Tablebullet"/>
            </w:pPr>
            <w:r w:rsidRPr="009472DA">
              <w:t xml:space="preserve">the ongoing options within AASB 15 and AASB 1058 that must/must not </w:t>
            </w:r>
            <w:r w:rsidRPr="00400B1C">
              <w:t>be applied.</w:t>
            </w:r>
          </w:p>
          <w:p w14:paraId="117FC493" w14:textId="77777777" w:rsidR="00400B1C" w:rsidRPr="009472DA" w:rsidRDefault="00400B1C" w:rsidP="00400B1C">
            <w:pPr>
              <w:pStyle w:val="SingleLineText-Half"/>
            </w:pPr>
          </w:p>
        </w:tc>
        <w:tc>
          <w:tcPr>
            <w:tcW w:w="1984" w:type="dxa"/>
            <w:hideMark/>
          </w:tcPr>
          <w:p w14:paraId="6DA4ECC7" w14:textId="56769D83" w:rsidR="00400B1C" w:rsidRPr="00400B1C" w:rsidRDefault="00400B1C" w:rsidP="00400B1C">
            <w:pPr>
              <w:pStyle w:val="Tabletext"/>
            </w:pPr>
            <w:r w:rsidRPr="009472DA">
              <w:t>NFP entities for annual reporting periods beginning on or after 1</w:t>
            </w:r>
            <w:r w:rsidR="007012FB">
              <w:t> January </w:t>
            </w:r>
            <w:r w:rsidRPr="00400B1C">
              <w:t>2019</w:t>
            </w:r>
          </w:p>
        </w:tc>
      </w:tr>
      <w:tr w:rsidR="00E51131" w:rsidRPr="009D649E" w14:paraId="6825A822" w14:textId="77777777" w:rsidTr="003A3D5A">
        <w:tc>
          <w:tcPr>
            <w:tcW w:w="9072" w:type="dxa"/>
            <w:gridSpan w:val="2"/>
            <w:shd w:val="clear" w:color="auto" w:fill="EFEFF0"/>
            <w:hideMark/>
          </w:tcPr>
          <w:p w14:paraId="3FDBA3BF" w14:textId="77777777" w:rsidR="00E51131" w:rsidRPr="00B5366A" w:rsidRDefault="00E51131" w:rsidP="00400B1C">
            <w:pPr>
              <w:pStyle w:val="Tableheading-leftaligned"/>
            </w:pPr>
            <w:r w:rsidRPr="00B5366A">
              <w:t>Council responsibilities</w:t>
            </w:r>
          </w:p>
        </w:tc>
      </w:tr>
      <w:tr w:rsidR="00400B1C" w14:paraId="220566DA" w14:textId="77777777" w:rsidTr="0061304D">
        <w:tc>
          <w:tcPr>
            <w:tcW w:w="7088" w:type="dxa"/>
            <w:hideMark/>
          </w:tcPr>
          <w:p w14:paraId="07B000B7" w14:textId="77777777" w:rsidR="00400B1C" w:rsidRPr="00400B1C" w:rsidRDefault="00400B1C" w:rsidP="00400B1C">
            <w:pPr>
              <w:pStyle w:val="Tabletext"/>
            </w:pPr>
            <w:r>
              <w:t>To effectively</w:t>
            </w:r>
            <w:r w:rsidRPr="00400B1C">
              <w:t xml:space="preserve"> implement AASB 15 and AASB 1058 councils/JOs will need to have:</w:t>
            </w:r>
          </w:p>
          <w:p w14:paraId="0618103A" w14:textId="77777777" w:rsidR="00F80E19" w:rsidRDefault="00F80E19" w:rsidP="00400B1C">
            <w:pPr>
              <w:pStyle w:val="Tablebullet"/>
            </w:pPr>
            <w:r>
              <w:t>an understanding of the new requirements and authoritative implementation guidance published by the AASB</w:t>
            </w:r>
          </w:p>
          <w:p w14:paraId="643326D5" w14:textId="77777777" w:rsidR="00400B1C" w:rsidRPr="00400B1C" w:rsidRDefault="00400B1C" w:rsidP="00400B1C">
            <w:pPr>
              <w:pStyle w:val="Tablebullet"/>
            </w:pPr>
            <w:r w:rsidRPr="009472DA">
              <w:t>consider</w:t>
            </w:r>
            <w:r w:rsidRPr="00400B1C">
              <w:t>ed whether AASB 15 and AASB 1058 will change their income recognition policies. If it does, the impact needs to be disclosed before the application date, as ‘modified’ retrospective application will be required on adoption</w:t>
            </w:r>
          </w:p>
          <w:p w14:paraId="1965A833" w14:textId="77777777" w:rsidR="00683AED" w:rsidRDefault="00400B1C" w:rsidP="00400B1C">
            <w:pPr>
              <w:pStyle w:val="Tablebullet"/>
            </w:pPr>
            <w:r w:rsidRPr="009472DA">
              <w:t>assess</w:t>
            </w:r>
            <w:r w:rsidRPr="00400B1C">
              <w:t>ed and ensured registers/databases of contracts with customers are complete and identify performance obligations within the contracts</w:t>
            </w:r>
          </w:p>
          <w:p w14:paraId="6BF278CD" w14:textId="77777777" w:rsidR="00400B1C" w:rsidRPr="00400B1C" w:rsidRDefault="00400B1C" w:rsidP="00400B1C">
            <w:pPr>
              <w:pStyle w:val="Tablebullet"/>
            </w:pPr>
            <w:r w:rsidRPr="009472DA">
              <w:t>assess</w:t>
            </w:r>
            <w:r w:rsidRPr="00400B1C">
              <w:t>ed and ensured grants registers/databases are complete and identify whether the transaction enabled the council/JO to acquire or construct a recognisable non</w:t>
            </w:r>
            <w:r w:rsidRPr="00400B1C">
              <w:noBreakHyphen/>
              <w:t>financial asset controlled by the council/JO</w:t>
            </w:r>
          </w:p>
          <w:p w14:paraId="50114D3A" w14:textId="77777777" w:rsidR="00400B1C" w:rsidRPr="00400B1C" w:rsidRDefault="00400B1C" w:rsidP="00400B1C">
            <w:pPr>
              <w:pStyle w:val="Tablebullet"/>
            </w:pPr>
            <w:r w:rsidRPr="009472DA">
              <w:t>prepare</w:t>
            </w:r>
            <w:r w:rsidRPr="00400B1C">
              <w:t>d for significantly increased disclosures</w:t>
            </w:r>
          </w:p>
          <w:p w14:paraId="42CC948B" w14:textId="77777777" w:rsidR="00400B1C" w:rsidRPr="00400B1C" w:rsidRDefault="00400B1C" w:rsidP="00400B1C">
            <w:pPr>
              <w:pStyle w:val="Tablebullet"/>
            </w:pPr>
            <w:r w:rsidRPr="009472DA">
              <w:t>review</w:t>
            </w:r>
            <w:r w:rsidRPr="00400B1C">
              <w:t>ed standard contract templates to ensure new contracts clearly support revenue recognition with the goods and services sold</w:t>
            </w:r>
          </w:p>
          <w:p w14:paraId="3D6B769B" w14:textId="60785EA8" w:rsidR="00400B1C" w:rsidRPr="00400B1C" w:rsidRDefault="007F249D" w:rsidP="007F249D">
            <w:pPr>
              <w:pStyle w:val="Tablebullet"/>
            </w:pPr>
            <w:r>
              <w:t>assessed whether</w:t>
            </w:r>
            <w:r w:rsidR="00400B1C" w:rsidRPr="00400B1C">
              <w:t xml:space="preserve"> existing systems support income recognition and are capable of capturing the key information requirements of the new standards</w:t>
            </w:r>
            <w:r>
              <w:t xml:space="preserve"> and updated existing or </w:t>
            </w:r>
            <w:r w:rsidRPr="007F249D">
              <w:t>implemented new systems, where required</w:t>
            </w:r>
          </w:p>
          <w:p w14:paraId="5EB1F78A" w14:textId="77777777" w:rsidR="00400B1C" w:rsidRPr="00400B1C" w:rsidRDefault="00400B1C" w:rsidP="00400B1C">
            <w:pPr>
              <w:pStyle w:val="Tablebullet"/>
            </w:pPr>
            <w:r w:rsidRPr="009472DA">
              <w:t>ensure</w:t>
            </w:r>
            <w:r w:rsidRPr="00400B1C">
              <w:t>d the control environment supports robust estimates and judgements on income recognition</w:t>
            </w:r>
          </w:p>
          <w:p w14:paraId="6C72642A" w14:textId="77777777" w:rsidR="00400B1C" w:rsidRPr="00400B1C" w:rsidRDefault="00400B1C" w:rsidP="00400B1C">
            <w:pPr>
              <w:pStyle w:val="Tablebullet"/>
            </w:pPr>
            <w:r w:rsidRPr="009472DA">
              <w:t>consider</w:t>
            </w:r>
            <w:r w:rsidRPr="00400B1C">
              <w:t>ed the impact on reporting to stakeholders regarding the council’s/JO’s financial position and performance</w:t>
            </w:r>
          </w:p>
          <w:p w14:paraId="7B7982D6" w14:textId="77777777" w:rsidR="00400B1C" w:rsidRPr="00400B1C" w:rsidRDefault="00400B1C" w:rsidP="00400B1C">
            <w:pPr>
              <w:pStyle w:val="Tablebullet"/>
            </w:pPr>
            <w:r>
              <w:t xml:space="preserve">planned and </w:t>
            </w:r>
            <w:r w:rsidRPr="00400B1C">
              <w:t>conducted training for accounting staff, legal and sales teams</w:t>
            </w:r>
          </w:p>
          <w:p w14:paraId="7F9D3503" w14:textId="77777777" w:rsidR="00683AED" w:rsidRDefault="00400B1C" w:rsidP="00400B1C">
            <w:pPr>
              <w:pStyle w:val="Tablebullet"/>
            </w:pPr>
            <w:r w:rsidRPr="009472DA">
              <w:t>advise</w:t>
            </w:r>
            <w:r w:rsidRPr="00400B1C">
              <w:t>d customers and other stakeholders if changes will be made to contracts, systems and processes</w:t>
            </w:r>
          </w:p>
          <w:p w14:paraId="4D07BC3C" w14:textId="77777777" w:rsidR="00400B1C" w:rsidRPr="00400B1C" w:rsidRDefault="00400B1C" w:rsidP="00400B1C">
            <w:pPr>
              <w:pStyle w:val="Tablebullet"/>
            </w:pPr>
            <w:r>
              <w:t>provide</w:t>
            </w:r>
            <w:r w:rsidRPr="00400B1C">
              <w:t>d proper guidance to ARICs</w:t>
            </w:r>
          </w:p>
          <w:p w14:paraId="3CCD2549" w14:textId="77777777" w:rsidR="00400B1C" w:rsidRPr="00400B1C" w:rsidRDefault="00400B1C" w:rsidP="00400B1C">
            <w:pPr>
              <w:pStyle w:val="Tablebullet"/>
            </w:pPr>
            <w:r w:rsidRPr="009472DA">
              <w:t>discuss</w:t>
            </w:r>
            <w:r w:rsidRPr="00400B1C">
              <w:t>ed proposed income recognition policies and financial statement disclosures with their ARICs and auditors</w:t>
            </w:r>
          </w:p>
          <w:p w14:paraId="251C330B" w14:textId="77777777" w:rsidR="00400B1C" w:rsidRPr="00400B1C" w:rsidRDefault="00400B1C" w:rsidP="00400B1C">
            <w:pPr>
              <w:pStyle w:val="Tablebullet"/>
            </w:pPr>
            <w:r w:rsidRPr="009472DA">
              <w:t>refer</w:t>
            </w:r>
            <w:r w:rsidRPr="00400B1C">
              <w:t xml:space="preserve">red to the </w:t>
            </w:r>
            <w:hyperlink r:id="rId15" w:history="1">
              <w:r w:rsidRPr="00400B1C">
                <w:rPr>
                  <w:rStyle w:val="Hyperlink"/>
                </w:rPr>
                <w:t>guidance</w:t>
              </w:r>
            </w:hyperlink>
            <w:r w:rsidRPr="00400B1C">
              <w:t xml:space="preserve"> released by OLG for the options within AASB 15 and AASB 1058 they must adopt on transition</w:t>
            </w:r>
          </w:p>
          <w:p w14:paraId="15EE2A3F" w14:textId="77777777" w:rsidR="00E51131" w:rsidRPr="00400B1C" w:rsidRDefault="00E51131" w:rsidP="00770E6A">
            <w:pPr>
              <w:pStyle w:val="SingleLineText-Half"/>
            </w:pPr>
          </w:p>
        </w:tc>
        <w:tc>
          <w:tcPr>
            <w:tcW w:w="1984" w:type="dxa"/>
          </w:tcPr>
          <w:p w14:paraId="6CD77DE3" w14:textId="77777777" w:rsidR="00400B1C" w:rsidRPr="009472DA" w:rsidRDefault="00400B1C" w:rsidP="00400B1C">
            <w:pPr>
              <w:pStyle w:val="BodyText"/>
            </w:pPr>
          </w:p>
        </w:tc>
      </w:tr>
      <w:tr w:rsidR="00E51131" w14:paraId="049C4317" w14:textId="77777777" w:rsidTr="003A3D5A">
        <w:tc>
          <w:tcPr>
            <w:tcW w:w="9072" w:type="dxa"/>
            <w:gridSpan w:val="2"/>
            <w:tcBorders>
              <w:bottom w:val="nil"/>
            </w:tcBorders>
            <w:shd w:val="clear" w:color="auto" w:fill="F2F2F2" w:themeFill="background1" w:themeFillShade="F2"/>
            <w:hideMark/>
          </w:tcPr>
          <w:p w14:paraId="44477690" w14:textId="77777777" w:rsidR="00E51131" w:rsidRPr="00400B1C" w:rsidRDefault="00E51131" w:rsidP="00400B1C">
            <w:pPr>
              <w:pStyle w:val="Tableheading-leftaligned"/>
            </w:pPr>
            <w:r w:rsidRPr="009472DA">
              <w:t>Responsibilities of Audit, Risk and Improvement Committees and those charged with governance</w:t>
            </w:r>
          </w:p>
        </w:tc>
      </w:tr>
      <w:tr w:rsidR="00400B1C" w14:paraId="146A555E" w14:textId="77777777" w:rsidTr="003A3D5A">
        <w:tc>
          <w:tcPr>
            <w:tcW w:w="7088" w:type="dxa"/>
            <w:tcBorders>
              <w:bottom w:val="single" w:sz="2" w:space="0" w:color="auto"/>
            </w:tcBorders>
            <w:hideMark/>
          </w:tcPr>
          <w:p w14:paraId="79C6757C" w14:textId="77777777" w:rsidR="00400B1C" w:rsidRPr="00400B1C" w:rsidRDefault="00400B1C" w:rsidP="00400B1C">
            <w:pPr>
              <w:pStyle w:val="Tabletext"/>
            </w:pPr>
            <w:r w:rsidRPr="009472DA">
              <w:t>ARICs and those charged with governance should:</w:t>
            </w:r>
          </w:p>
          <w:p w14:paraId="19A37121" w14:textId="41D107FD" w:rsidR="007F249D" w:rsidRDefault="00400B1C" w:rsidP="00400B1C">
            <w:pPr>
              <w:pStyle w:val="Tablebullet"/>
            </w:pPr>
            <w:r w:rsidRPr="009472DA">
              <w:t>understand AASB 15 and AASB 1058</w:t>
            </w:r>
          </w:p>
          <w:p w14:paraId="46F53AE3" w14:textId="77777777" w:rsidR="00E51131" w:rsidRDefault="00400B1C" w:rsidP="00A66D5A">
            <w:pPr>
              <w:pStyle w:val="Tablebullet"/>
            </w:pPr>
            <w:r w:rsidRPr="009472DA">
              <w:t xml:space="preserve">ensure management has adequately planned </w:t>
            </w:r>
            <w:r w:rsidR="007F249D">
              <w:t>and implemented AASB 15 and AASB 1058</w:t>
            </w:r>
            <w:r w:rsidRPr="009472DA">
              <w:t xml:space="preserve">, including disclosing the impact in the </w:t>
            </w:r>
            <w:r w:rsidRPr="00400B1C">
              <w:t>current year’s financial statements</w:t>
            </w:r>
            <w:r w:rsidR="007F249D">
              <w:t>.</w:t>
            </w:r>
          </w:p>
          <w:p w14:paraId="64EC5FE3" w14:textId="1B632E55" w:rsidR="00ED129F" w:rsidRPr="00400B1C" w:rsidRDefault="00ED129F" w:rsidP="003A3D5A">
            <w:pPr>
              <w:pStyle w:val="SingleLineText-Half"/>
            </w:pPr>
          </w:p>
        </w:tc>
        <w:tc>
          <w:tcPr>
            <w:tcW w:w="1984" w:type="dxa"/>
            <w:tcBorders>
              <w:bottom w:val="single" w:sz="2" w:space="0" w:color="auto"/>
            </w:tcBorders>
          </w:tcPr>
          <w:p w14:paraId="5B27796E" w14:textId="77777777" w:rsidR="00400B1C" w:rsidRPr="009472DA" w:rsidRDefault="00400B1C" w:rsidP="00400B1C">
            <w:pPr>
              <w:pStyle w:val="BodyText"/>
            </w:pPr>
          </w:p>
        </w:tc>
      </w:tr>
    </w:tbl>
    <w:p w14:paraId="4E59B9E9" w14:textId="77777777" w:rsidR="00400B1C" w:rsidRPr="009472DA" w:rsidRDefault="00400B1C" w:rsidP="00400B1C">
      <w:pPr>
        <w:pStyle w:val="SingleLineText-Half"/>
      </w:pPr>
    </w:p>
    <w:p w14:paraId="633DF36A" w14:textId="77777777" w:rsidR="00400B1C" w:rsidRPr="00400B1C" w:rsidRDefault="00400B1C" w:rsidP="0061304D">
      <w:pPr>
        <w:pStyle w:val="Heading-LeftSmall"/>
      </w:pPr>
      <w:r w:rsidRPr="00A66D5A">
        <w:rPr>
          <w:color w:val="D64B46"/>
        </w:rPr>
        <w:t>Issue 2: AASB 16 ‘Leases’</w:t>
      </w:r>
    </w:p>
    <w:tbl>
      <w:tblPr>
        <w:tblW w:w="9072" w:type="dxa"/>
        <w:tblBorders>
          <w:bottom w:val="single" w:sz="4" w:space="0" w:color="auto"/>
        </w:tblBorders>
        <w:tblLayout w:type="fixed"/>
        <w:tblLook w:val="04A0" w:firstRow="1" w:lastRow="0" w:firstColumn="1" w:lastColumn="0" w:noHBand="0" w:noVBand="1"/>
      </w:tblPr>
      <w:tblGrid>
        <w:gridCol w:w="7088"/>
        <w:gridCol w:w="1984"/>
      </w:tblGrid>
      <w:tr w:rsidR="00400B1C" w14:paraId="175A9A9A" w14:textId="77777777" w:rsidTr="003A3D5A">
        <w:trPr>
          <w:tblHeader/>
        </w:trPr>
        <w:tc>
          <w:tcPr>
            <w:tcW w:w="7088" w:type="dxa"/>
            <w:tcBorders>
              <w:bottom w:val="single" w:sz="18" w:space="0" w:color="D9AD5F"/>
            </w:tcBorders>
            <w:shd w:val="clear" w:color="auto" w:fill="FFFFFF" w:themeFill="background1"/>
            <w:hideMark/>
          </w:tcPr>
          <w:p w14:paraId="5AB00631" w14:textId="77777777" w:rsidR="00400B1C" w:rsidRPr="00400B1C" w:rsidRDefault="00400B1C" w:rsidP="00400B1C">
            <w:pPr>
              <w:pStyle w:val="Tableheading-leftaligned"/>
            </w:pPr>
            <w:r w:rsidRPr="009472DA">
              <w:t>Overview</w:t>
            </w:r>
          </w:p>
        </w:tc>
        <w:tc>
          <w:tcPr>
            <w:tcW w:w="1984" w:type="dxa"/>
            <w:tcBorders>
              <w:bottom w:val="single" w:sz="18" w:space="0" w:color="D9AD5F"/>
            </w:tcBorders>
            <w:shd w:val="clear" w:color="auto" w:fill="FFFFFF" w:themeFill="background1"/>
            <w:hideMark/>
          </w:tcPr>
          <w:p w14:paraId="2DEA7A17" w14:textId="77777777" w:rsidR="00400B1C" w:rsidRPr="00400B1C" w:rsidRDefault="00400B1C" w:rsidP="00400B1C">
            <w:pPr>
              <w:pStyle w:val="Tableheading-leftaligned"/>
            </w:pPr>
            <w:r w:rsidRPr="009472DA">
              <w:t>Applies to</w:t>
            </w:r>
          </w:p>
        </w:tc>
      </w:tr>
      <w:tr w:rsidR="00400B1C" w14:paraId="29F9A9CB" w14:textId="77777777" w:rsidTr="003A3D5A">
        <w:tc>
          <w:tcPr>
            <w:tcW w:w="7088" w:type="dxa"/>
            <w:tcBorders>
              <w:top w:val="single" w:sz="18" w:space="0" w:color="D9AD5F"/>
            </w:tcBorders>
          </w:tcPr>
          <w:p w14:paraId="09E9BC0C" w14:textId="77777777" w:rsidR="00683AED" w:rsidRDefault="00400B1C" w:rsidP="00400B1C">
            <w:pPr>
              <w:pStyle w:val="Tabletext"/>
            </w:pPr>
            <w:r w:rsidRPr="009472DA">
              <w:t>In</w:t>
            </w:r>
            <w:r w:rsidR="007012FB">
              <w:t> February </w:t>
            </w:r>
            <w:r w:rsidRPr="00400B1C">
              <w:t>2016, the AASB issued a new standard: AASB 16 ‘Leases’.</w:t>
            </w:r>
          </w:p>
          <w:p w14:paraId="66DFD161" w14:textId="77777777" w:rsidR="00400B1C" w:rsidRPr="00400B1C" w:rsidRDefault="00400B1C" w:rsidP="00400B1C">
            <w:pPr>
              <w:pStyle w:val="Tabletext"/>
            </w:pPr>
            <w:r w:rsidRPr="009472DA">
              <w:t xml:space="preserve">AASB 16 eliminates the need for lessees to classify leases as either operating </w:t>
            </w:r>
            <w:r w:rsidRPr="00400B1C">
              <w:t>leases or finance leases. Leases will be ‘capitalised’ by recognising the present value of the future lease payments. Preparers can present leased assets in their financial statements in a separate category as leased (right</w:t>
            </w:r>
            <w:r w:rsidRPr="00400B1C">
              <w:noBreakHyphen/>
              <w:t>of</w:t>
            </w:r>
            <w:r w:rsidRPr="00400B1C">
              <w:noBreakHyphen/>
              <w:t>use) assets, or together with the property, plant and equipment category.</w:t>
            </w:r>
          </w:p>
          <w:p w14:paraId="337058D8" w14:textId="77777777" w:rsidR="00400B1C" w:rsidRPr="00400B1C" w:rsidRDefault="00400B1C" w:rsidP="00400B1C">
            <w:pPr>
              <w:pStyle w:val="Tabletext"/>
            </w:pPr>
            <w:r w:rsidRPr="009472DA">
              <w:t>Lessees will recognise a financial liability for their obligation to make future lease payments. The principal and interest portions of the cash payments will be separately disclosed in the Statement of Cash Flows.</w:t>
            </w:r>
          </w:p>
          <w:p w14:paraId="780D31CE" w14:textId="77777777" w:rsidR="00400B1C" w:rsidRPr="00400B1C" w:rsidRDefault="00400B1C" w:rsidP="00400B1C">
            <w:pPr>
              <w:pStyle w:val="Tabletext"/>
            </w:pPr>
            <w:r w:rsidRPr="009472DA">
              <w:t>Lessees are not required to recognise assets and liabilities for:</w:t>
            </w:r>
          </w:p>
          <w:p w14:paraId="2D3C95C9" w14:textId="77777777" w:rsidR="00400B1C" w:rsidRPr="00400B1C" w:rsidRDefault="00400B1C" w:rsidP="00400B1C">
            <w:pPr>
              <w:pStyle w:val="Tablebullet"/>
            </w:pPr>
            <w:r w:rsidRPr="009472DA">
              <w:t>short</w:t>
            </w:r>
            <w:r w:rsidRPr="009472DA">
              <w:noBreakHyphen/>
              <w:t>term leases of 12 months or less</w:t>
            </w:r>
          </w:p>
          <w:p w14:paraId="084B13DE" w14:textId="77777777" w:rsidR="00400B1C" w:rsidRDefault="00400B1C" w:rsidP="00400B1C">
            <w:pPr>
              <w:pStyle w:val="Tablebullet"/>
            </w:pPr>
            <w:r w:rsidRPr="009472DA">
              <w:t>leases of low</w:t>
            </w:r>
            <w:r w:rsidRPr="009472DA">
              <w:noBreakHyphen/>
              <w:t>value assets</w:t>
            </w:r>
            <w:r w:rsidRPr="00400B1C">
              <w:rPr>
                <w:rStyle w:val="FootnoteReference"/>
              </w:rPr>
              <w:footnoteReference w:id="2"/>
            </w:r>
            <w:r w:rsidRPr="00400B1C">
              <w:t>.</w:t>
            </w:r>
          </w:p>
          <w:p w14:paraId="4345E8F1" w14:textId="77777777" w:rsidR="002A0F1B" w:rsidRPr="00400B1C" w:rsidRDefault="002A0F1B" w:rsidP="0061304D">
            <w:pPr>
              <w:pStyle w:val="SingleLineText-Half"/>
            </w:pPr>
          </w:p>
          <w:p w14:paraId="6C062F5A" w14:textId="77777777" w:rsidR="00400B1C" w:rsidRPr="00400B1C" w:rsidRDefault="00400B1C" w:rsidP="00400B1C">
            <w:pPr>
              <w:pStyle w:val="Tabletext"/>
            </w:pPr>
            <w:r w:rsidRPr="009472DA">
              <w:t>The new requirements will significantly increase right of use assets and related financial liabilities on lessees’ balance sheets.</w:t>
            </w:r>
          </w:p>
          <w:p w14:paraId="44538CAD" w14:textId="77777777" w:rsidR="00400B1C" w:rsidRPr="00400B1C" w:rsidRDefault="00400B1C" w:rsidP="00400B1C">
            <w:pPr>
              <w:pStyle w:val="Tabletext"/>
            </w:pPr>
            <w:r w:rsidRPr="009472DA">
              <w:t>Lessor accounting requirements are substantially carried forward from AASB 117 ‘Leases’. Accordingly, lessors will continue classifying leases as operating leases or finance leases, and accounting for them differently.</w:t>
            </w:r>
          </w:p>
          <w:p w14:paraId="5448A1C9" w14:textId="77777777" w:rsidR="00400B1C" w:rsidRPr="00400B1C" w:rsidRDefault="00400B1C" w:rsidP="00400B1C">
            <w:pPr>
              <w:pStyle w:val="Tabletext"/>
            </w:pPr>
            <w:r w:rsidRPr="009472DA">
              <w:t>Reporting entities will not have to restate comparative information when first applying AASB 16. On initial recognition, entities can choose how to measure leased assets that were previously off</w:t>
            </w:r>
            <w:r w:rsidRPr="00400B1C">
              <w:t>-balance sheet. Leased assets can be measured as if AASB 16 had always applied, or at an amount based on the lease liability.</w:t>
            </w:r>
          </w:p>
          <w:p w14:paraId="01738D2A" w14:textId="77777777" w:rsidR="00400B1C" w:rsidRPr="00400B1C" w:rsidRDefault="00400B1C" w:rsidP="00400B1C">
            <w:pPr>
              <w:pStyle w:val="Tabletext"/>
            </w:pPr>
            <w:r w:rsidRPr="009472DA">
              <w:t xml:space="preserve">OLG have released guidance on the </w:t>
            </w:r>
            <w:hyperlink r:id="rId16" w:history="1">
              <w:r w:rsidRPr="00400B1C">
                <w:rPr>
                  <w:rStyle w:val="Hyperlink"/>
                </w:rPr>
                <w:t>financial reporting options</w:t>
              </w:r>
            </w:hyperlink>
            <w:r w:rsidRPr="00400B1C">
              <w:t xml:space="preserve"> councils/JOs must elect on transition to AASB 16. The guidance mandates:</w:t>
            </w:r>
          </w:p>
          <w:p w14:paraId="48FB4260" w14:textId="77777777" w:rsidR="00683AED" w:rsidRDefault="00400B1C" w:rsidP="00400B1C">
            <w:pPr>
              <w:pStyle w:val="Tablebullet"/>
            </w:pPr>
            <w:r w:rsidRPr="009472DA">
              <w:t>th</w:t>
            </w:r>
            <w:r w:rsidRPr="00400B1C">
              <w:t>e adoption of the modified retrospective approach on transition</w:t>
            </w:r>
          </w:p>
          <w:p w14:paraId="6A2E269A" w14:textId="77777777" w:rsidR="00400B1C" w:rsidRPr="00400B1C" w:rsidRDefault="00400B1C" w:rsidP="00400B1C">
            <w:pPr>
              <w:pStyle w:val="Tablebullet"/>
            </w:pPr>
            <w:r w:rsidRPr="009472DA">
              <w:t xml:space="preserve">the practical expedients </w:t>
            </w:r>
            <w:r w:rsidRPr="00400B1C">
              <w:t>that must/must not be applied on transition</w:t>
            </w:r>
          </w:p>
          <w:p w14:paraId="078BE36D" w14:textId="77777777" w:rsidR="00400B1C" w:rsidRPr="00400B1C" w:rsidRDefault="00400B1C" w:rsidP="00400B1C">
            <w:pPr>
              <w:pStyle w:val="Tablebullet"/>
            </w:pPr>
            <w:r w:rsidRPr="009472DA">
              <w:t xml:space="preserve">the ongoing options within AASB 16 that must </w:t>
            </w:r>
            <w:r w:rsidRPr="00400B1C">
              <w:t>be applied.</w:t>
            </w:r>
          </w:p>
          <w:p w14:paraId="1CA07B48" w14:textId="77777777" w:rsidR="00400B1C" w:rsidRPr="009472DA" w:rsidRDefault="00400B1C" w:rsidP="00400B1C">
            <w:pPr>
              <w:pStyle w:val="SingleLineText-Half"/>
            </w:pPr>
          </w:p>
        </w:tc>
        <w:tc>
          <w:tcPr>
            <w:tcW w:w="1984" w:type="dxa"/>
            <w:tcBorders>
              <w:top w:val="single" w:sz="18" w:space="0" w:color="D9AD5F"/>
            </w:tcBorders>
            <w:hideMark/>
          </w:tcPr>
          <w:p w14:paraId="53A632DA" w14:textId="5008052B" w:rsidR="00400B1C" w:rsidRPr="00400B1C" w:rsidRDefault="00400B1C" w:rsidP="00400B1C">
            <w:pPr>
              <w:pStyle w:val="Tabletext"/>
            </w:pPr>
            <w:r w:rsidRPr="009472DA">
              <w:t>Councils</w:t>
            </w:r>
            <w:r w:rsidRPr="00400B1C">
              <w:t>, JOs and council entities for annual reporting periods beginning on or after 1</w:t>
            </w:r>
            <w:r w:rsidR="007012FB">
              <w:t> January </w:t>
            </w:r>
            <w:r w:rsidRPr="00400B1C">
              <w:t>2019</w:t>
            </w:r>
          </w:p>
        </w:tc>
      </w:tr>
      <w:tr w:rsidR="00400B1C" w14:paraId="3E8EAB98" w14:textId="77777777" w:rsidTr="003A3D5A">
        <w:tc>
          <w:tcPr>
            <w:tcW w:w="9072" w:type="dxa"/>
            <w:gridSpan w:val="2"/>
            <w:shd w:val="clear" w:color="auto" w:fill="EFEFF0"/>
            <w:hideMark/>
          </w:tcPr>
          <w:p w14:paraId="69F386FE" w14:textId="77777777" w:rsidR="00400B1C" w:rsidRPr="00400B1C" w:rsidRDefault="00400B1C" w:rsidP="00400B1C">
            <w:pPr>
              <w:pStyle w:val="Tableheading-leftaligned"/>
            </w:pPr>
            <w:r w:rsidRPr="009472DA">
              <w:t>Council</w:t>
            </w:r>
            <w:r w:rsidRPr="00400B1C">
              <w:t>/JO responsibilities</w:t>
            </w:r>
          </w:p>
        </w:tc>
      </w:tr>
      <w:tr w:rsidR="00400B1C" w14:paraId="415716FA" w14:textId="77777777" w:rsidTr="003A3D5A">
        <w:tc>
          <w:tcPr>
            <w:tcW w:w="7088" w:type="dxa"/>
            <w:hideMark/>
          </w:tcPr>
          <w:p w14:paraId="0259C096" w14:textId="77777777" w:rsidR="00400B1C" w:rsidRPr="00400B1C" w:rsidRDefault="00400B1C" w:rsidP="00400B1C">
            <w:pPr>
              <w:pStyle w:val="Tabletext"/>
            </w:pPr>
            <w:r w:rsidRPr="00C74E77">
              <w:t>To effectively implement AASB 1</w:t>
            </w:r>
            <w:r w:rsidRPr="00400B1C">
              <w:t>6 councils/JOs will need to have:</w:t>
            </w:r>
          </w:p>
          <w:p w14:paraId="63248BA8" w14:textId="2052702A" w:rsidR="00A356B6" w:rsidRDefault="00A356B6" w:rsidP="00A356B6">
            <w:pPr>
              <w:pStyle w:val="Tablebullet"/>
            </w:pPr>
            <w:r w:rsidRPr="00A356B6">
              <w:t>an understanding of the new requirements and authoritative implementation guidance published by the AASB</w:t>
            </w:r>
          </w:p>
          <w:p w14:paraId="483DF037" w14:textId="2746D34A" w:rsidR="00400B1C" w:rsidRPr="00400B1C" w:rsidRDefault="00400B1C" w:rsidP="00400B1C">
            <w:pPr>
              <w:pStyle w:val="Tablebullet"/>
            </w:pPr>
            <w:r w:rsidRPr="009472DA">
              <w:t>consider</w:t>
            </w:r>
            <w:r w:rsidRPr="00400B1C">
              <w:t>ed whether the standard will change their accounting policies for leases. The impact must be disclosed before the application date, as ‘modified’ retrospective application will be required on adoption</w:t>
            </w:r>
          </w:p>
          <w:p w14:paraId="0B3550E4" w14:textId="77777777" w:rsidR="00400B1C" w:rsidRPr="00400B1C" w:rsidRDefault="00400B1C" w:rsidP="00400B1C">
            <w:pPr>
              <w:pStyle w:val="Tablebullet"/>
            </w:pPr>
            <w:r w:rsidRPr="009472DA">
              <w:t>assess</w:t>
            </w:r>
            <w:r w:rsidRPr="00400B1C">
              <w:t>ed and ensured registers/databases of leases are complete</w:t>
            </w:r>
          </w:p>
          <w:p w14:paraId="176CFC51" w14:textId="680896D8" w:rsidR="00400B1C" w:rsidRPr="00400B1C" w:rsidRDefault="00A356B6" w:rsidP="00400B1C">
            <w:pPr>
              <w:pStyle w:val="Tablebullet"/>
            </w:pPr>
            <w:r>
              <w:t>assessed whether existing systems can capture</w:t>
            </w:r>
            <w:r w:rsidR="00400B1C" w:rsidRPr="00400B1C">
              <w:t xml:space="preserve"> information requirements o</w:t>
            </w:r>
            <w:r>
              <w:t>f</w:t>
            </w:r>
            <w:r w:rsidR="00400B1C" w:rsidRPr="00400B1C">
              <w:t xml:space="preserve"> the new standard, </w:t>
            </w:r>
            <w:r>
              <w:t>and updated</w:t>
            </w:r>
            <w:r w:rsidR="00400B1C" w:rsidRPr="00400B1C">
              <w:t xml:space="preserve"> existing</w:t>
            </w:r>
            <w:r>
              <w:t xml:space="preserve"> or implemented new</w:t>
            </w:r>
            <w:r w:rsidR="00400B1C" w:rsidRPr="00400B1C">
              <w:t xml:space="preserve"> system</w:t>
            </w:r>
            <w:r w:rsidR="00947671">
              <w:t>,</w:t>
            </w:r>
            <w:r>
              <w:t xml:space="preserve"> where required</w:t>
            </w:r>
          </w:p>
          <w:p w14:paraId="4B187FD3" w14:textId="77777777" w:rsidR="00400B1C" w:rsidRPr="00400B1C" w:rsidRDefault="00400B1C" w:rsidP="00400B1C">
            <w:pPr>
              <w:pStyle w:val="Tablebullet"/>
            </w:pPr>
            <w:r w:rsidRPr="009472DA">
              <w:t>prepare</w:t>
            </w:r>
            <w:r w:rsidRPr="00400B1C">
              <w:t>d for the increased disclosures</w:t>
            </w:r>
          </w:p>
          <w:p w14:paraId="05EC97AD" w14:textId="77777777" w:rsidR="00400B1C" w:rsidRPr="00400B1C" w:rsidRDefault="00400B1C" w:rsidP="00400B1C">
            <w:pPr>
              <w:pStyle w:val="Tablebullet"/>
            </w:pPr>
            <w:r w:rsidRPr="009472DA">
              <w:t>consider</w:t>
            </w:r>
            <w:r w:rsidRPr="00400B1C">
              <w:t>ed the impact on reporting to stakeholders regarding the council’s/JO’s financial position and performance</w:t>
            </w:r>
          </w:p>
          <w:p w14:paraId="6083690A" w14:textId="77777777" w:rsidR="00400B1C" w:rsidRPr="00400B1C" w:rsidRDefault="00400B1C" w:rsidP="00400B1C">
            <w:pPr>
              <w:pStyle w:val="Tablebullet"/>
            </w:pPr>
            <w:r>
              <w:t xml:space="preserve">planned and </w:t>
            </w:r>
            <w:r w:rsidRPr="00400B1C">
              <w:t>conducted training for accounting and legal staff</w:t>
            </w:r>
          </w:p>
          <w:p w14:paraId="2C619062" w14:textId="77777777" w:rsidR="00400B1C" w:rsidRPr="00400B1C" w:rsidRDefault="00400B1C" w:rsidP="00400B1C">
            <w:pPr>
              <w:pStyle w:val="Tablebullet"/>
            </w:pPr>
            <w:r>
              <w:t>provide</w:t>
            </w:r>
            <w:r w:rsidRPr="00400B1C">
              <w:t>d proper guidance to ARICs</w:t>
            </w:r>
          </w:p>
          <w:p w14:paraId="35ECBAB9" w14:textId="77777777" w:rsidR="00400B1C" w:rsidRPr="00400B1C" w:rsidRDefault="00400B1C" w:rsidP="00400B1C">
            <w:pPr>
              <w:pStyle w:val="Tablebullet"/>
            </w:pPr>
            <w:r w:rsidRPr="009472DA">
              <w:t>discuss</w:t>
            </w:r>
            <w:r w:rsidRPr="00400B1C">
              <w:t>ed proposed lease policies and financial statement disclosures with their ARICs and auditors</w:t>
            </w:r>
          </w:p>
          <w:p w14:paraId="5CDD1C6C" w14:textId="502C5E92" w:rsidR="00400B1C" w:rsidRDefault="00400B1C">
            <w:pPr>
              <w:pStyle w:val="Tablebullet"/>
            </w:pPr>
            <w:r w:rsidRPr="009472DA">
              <w:t>refer</w:t>
            </w:r>
            <w:r w:rsidRPr="00400B1C">
              <w:t xml:space="preserve">red to the </w:t>
            </w:r>
            <w:hyperlink r:id="rId17" w:history="1">
              <w:r w:rsidRPr="00400B1C">
                <w:rPr>
                  <w:rStyle w:val="Hyperlink"/>
                </w:rPr>
                <w:t>guidance</w:t>
              </w:r>
            </w:hyperlink>
            <w:r w:rsidRPr="00400B1C">
              <w:t xml:space="preserve"> released by OLG for the options within AASB 16 they must adopt on transition</w:t>
            </w:r>
            <w:r w:rsidR="00D21EAD">
              <w:t>.</w:t>
            </w:r>
          </w:p>
          <w:p w14:paraId="29984FAD" w14:textId="77777777" w:rsidR="002A0F1B" w:rsidRPr="00400B1C" w:rsidRDefault="002A0F1B" w:rsidP="0061304D">
            <w:pPr>
              <w:pStyle w:val="SingleLineText-Half"/>
            </w:pPr>
          </w:p>
        </w:tc>
        <w:tc>
          <w:tcPr>
            <w:tcW w:w="1984" w:type="dxa"/>
          </w:tcPr>
          <w:p w14:paraId="53355DAA" w14:textId="77777777" w:rsidR="00400B1C" w:rsidRPr="009472DA" w:rsidRDefault="00400B1C" w:rsidP="00400B1C">
            <w:pPr>
              <w:pStyle w:val="Tabletext"/>
            </w:pPr>
          </w:p>
        </w:tc>
      </w:tr>
      <w:tr w:rsidR="00400B1C" w14:paraId="77DCF033" w14:textId="77777777" w:rsidTr="003A3D5A">
        <w:tc>
          <w:tcPr>
            <w:tcW w:w="9072" w:type="dxa"/>
            <w:gridSpan w:val="2"/>
            <w:shd w:val="clear" w:color="auto" w:fill="EFEFF0"/>
            <w:hideMark/>
          </w:tcPr>
          <w:p w14:paraId="451954F4" w14:textId="77777777" w:rsidR="00400B1C" w:rsidRPr="00400B1C" w:rsidRDefault="00400B1C" w:rsidP="00400B1C">
            <w:pPr>
              <w:pStyle w:val="Tableheading-leftaligned"/>
            </w:pPr>
            <w:r w:rsidRPr="009472DA">
              <w:t xml:space="preserve">Responsibilities of Audit, Risk and Improvement Committees and those charged with </w:t>
            </w:r>
            <w:r w:rsidRPr="00400B1C">
              <w:t>governance</w:t>
            </w:r>
          </w:p>
        </w:tc>
      </w:tr>
      <w:tr w:rsidR="00400B1C" w14:paraId="5A9A35DF" w14:textId="77777777" w:rsidTr="003A3D5A">
        <w:tc>
          <w:tcPr>
            <w:tcW w:w="7088" w:type="dxa"/>
          </w:tcPr>
          <w:p w14:paraId="71F7D361" w14:textId="77777777" w:rsidR="00400B1C" w:rsidRPr="00400B1C" w:rsidRDefault="00400B1C" w:rsidP="00400B1C">
            <w:pPr>
              <w:pStyle w:val="Tabletext"/>
            </w:pPr>
            <w:r w:rsidRPr="009472DA">
              <w:t>ARICs and those charged with governance should:</w:t>
            </w:r>
          </w:p>
          <w:p w14:paraId="4B751E02" w14:textId="77777777" w:rsidR="00683AED" w:rsidRDefault="00400B1C" w:rsidP="00400B1C">
            <w:pPr>
              <w:pStyle w:val="Tablebullet"/>
            </w:pPr>
            <w:r w:rsidRPr="009472DA">
              <w:t>understand the new standard</w:t>
            </w:r>
          </w:p>
          <w:p w14:paraId="2760B628" w14:textId="77777777" w:rsidR="00A91642" w:rsidRDefault="00400B1C" w:rsidP="00A66D5A">
            <w:pPr>
              <w:pStyle w:val="Tablebullet"/>
            </w:pPr>
            <w:r w:rsidRPr="009472DA">
              <w:t xml:space="preserve">ensure management has adequately planned </w:t>
            </w:r>
            <w:r w:rsidR="008E63AB">
              <w:t>and implemented AASB 16</w:t>
            </w:r>
            <w:r w:rsidRPr="009472DA">
              <w:t xml:space="preserve"> including </w:t>
            </w:r>
            <w:r w:rsidR="008E63AB" w:rsidRPr="009472DA">
              <w:t>disclos</w:t>
            </w:r>
            <w:r w:rsidR="008E63AB">
              <w:t>ing</w:t>
            </w:r>
            <w:r w:rsidRPr="009472DA">
              <w:t xml:space="preserve"> the impact in the </w:t>
            </w:r>
            <w:r w:rsidRPr="00400B1C">
              <w:t>current year financial statements</w:t>
            </w:r>
            <w:r w:rsidR="008E63AB">
              <w:t>.</w:t>
            </w:r>
          </w:p>
          <w:p w14:paraId="5963CDD1" w14:textId="6C12C6C7" w:rsidR="00400B1C" w:rsidRPr="009472DA" w:rsidRDefault="008E63AB" w:rsidP="003A3D5A">
            <w:pPr>
              <w:pStyle w:val="SingleLineText-Half"/>
            </w:pPr>
            <w:r w:rsidRPr="00400B1C" w:rsidDel="008E63AB">
              <w:t xml:space="preserve"> </w:t>
            </w:r>
          </w:p>
        </w:tc>
        <w:tc>
          <w:tcPr>
            <w:tcW w:w="1984" w:type="dxa"/>
          </w:tcPr>
          <w:p w14:paraId="64DBAD74" w14:textId="77777777" w:rsidR="00400B1C" w:rsidRPr="009472DA" w:rsidRDefault="00400B1C" w:rsidP="00400B1C">
            <w:pPr>
              <w:pStyle w:val="Tabletext"/>
            </w:pPr>
          </w:p>
        </w:tc>
      </w:tr>
    </w:tbl>
    <w:p w14:paraId="69119A14" w14:textId="77777777" w:rsidR="00400B1C" w:rsidRPr="009472DA" w:rsidRDefault="00400B1C" w:rsidP="00400B1C">
      <w:pPr>
        <w:pStyle w:val="SingleLineText-Half"/>
      </w:pPr>
    </w:p>
    <w:p w14:paraId="6350EAF3" w14:textId="77777777" w:rsidR="00400B1C" w:rsidRDefault="00400B1C" w:rsidP="0061304D">
      <w:pPr>
        <w:pStyle w:val="Heading-LeftSmall"/>
      </w:pPr>
      <w:r w:rsidRPr="00A66D5A">
        <w:rPr>
          <w:color w:val="D64B46"/>
        </w:rPr>
        <w:t xml:space="preserve">Issue 3: AASB 1059 Service Concession Arrangements: </w:t>
      </w:r>
      <w:r w:rsidR="006B0845" w:rsidRPr="00A66D5A">
        <w:rPr>
          <w:color w:val="D64B46"/>
        </w:rPr>
        <w:t>‘</w:t>
      </w:r>
      <w:r w:rsidRPr="00A66D5A">
        <w:rPr>
          <w:color w:val="D64B46"/>
        </w:rPr>
        <w:t>Grantors</w:t>
      </w:r>
      <w:r w:rsidR="006B0845" w:rsidRPr="00A66D5A">
        <w:rPr>
          <w:color w:val="D64B46"/>
        </w:rPr>
        <w:t>’</w:t>
      </w:r>
    </w:p>
    <w:tbl>
      <w:tblPr>
        <w:tblW w:w="9072" w:type="dxa"/>
        <w:tblBorders>
          <w:bottom w:val="single" w:sz="4" w:space="0" w:color="auto"/>
        </w:tblBorders>
        <w:tblLook w:val="04A0" w:firstRow="1" w:lastRow="0" w:firstColumn="1" w:lastColumn="0" w:noHBand="0" w:noVBand="1"/>
      </w:tblPr>
      <w:tblGrid>
        <w:gridCol w:w="6799"/>
        <w:gridCol w:w="2273"/>
      </w:tblGrid>
      <w:tr w:rsidR="00597DF0" w14:paraId="0A60714F" w14:textId="77777777" w:rsidTr="003A3D5A">
        <w:trPr>
          <w:tblHeader/>
        </w:trPr>
        <w:tc>
          <w:tcPr>
            <w:tcW w:w="7088" w:type="dxa"/>
            <w:tcBorders>
              <w:bottom w:val="single" w:sz="18" w:space="0" w:color="DEB260" w:themeColor="accent2"/>
            </w:tcBorders>
            <w:shd w:val="clear" w:color="auto" w:fill="auto"/>
            <w:hideMark/>
          </w:tcPr>
          <w:p w14:paraId="32524585" w14:textId="77777777" w:rsidR="00400B1C" w:rsidRPr="00400B1C" w:rsidRDefault="00400B1C" w:rsidP="00400B1C">
            <w:pPr>
              <w:pStyle w:val="Tableheading-leftaligned"/>
            </w:pPr>
            <w:r w:rsidRPr="009472DA">
              <w:t>Overview</w:t>
            </w:r>
          </w:p>
        </w:tc>
        <w:tc>
          <w:tcPr>
            <w:tcW w:w="2315" w:type="dxa"/>
            <w:tcBorders>
              <w:bottom w:val="single" w:sz="18" w:space="0" w:color="DEB260" w:themeColor="accent2"/>
            </w:tcBorders>
            <w:shd w:val="clear" w:color="auto" w:fill="auto"/>
            <w:hideMark/>
          </w:tcPr>
          <w:p w14:paraId="1941BF9C" w14:textId="77777777" w:rsidR="00400B1C" w:rsidRPr="00400B1C" w:rsidRDefault="00400B1C" w:rsidP="00400B1C">
            <w:pPr>
              <w:pStyle w:val="Tableheading-leftaligned"/>
            </w:pPr>
            <w:r w:rsidRPr="009472DA">
              <w:t>Applies to</w:t>
            </w:r>
          </w:p>
        </w:tc>
      </w:tr>
      <w:tr w:rsidR="00597DF0" w14:paraId="21537742" w14:textId="77777777" w:rsidTr="003A3D5A">
        <w:tc>
          <w:tcPr>
            <w:tcW w:w="7088" w:type="dxa"/>
            <w:tcBorders>
              <w:top w:val="single" w:sz="18" w:space="0" w:color="DEB260" w:themeColor="accent2"/>
            </w:tcBorders>
          </w:tcPr>
          <w:p w14:paraId="30E78891" w14:textId="77777777" w:rsidR="00400B1C" w:rsidRPr="00400B1C" w:rsidRDefault="00400B1C" w:rsidP="00400B1C">
            <w:pPr>
              <w:pStyle w:val="Tabletext"/>
            </w:pPr>
            <w:r w:rsidRPr="009472DA">
              <w:t>In</w:t>
            </w:r>
            <w:r w:rsidR="007012FB">
              <w:t> July </w:t>
            </w:r>
            <w:r w:rsidRPr="00400B1C">
              <w:t>2017, the AASB issued a new accounting standard: AASB 1059 ‘Service Concession Arrangements: Grantors’ to address the gap in accounting for service concession arrangements (SCAs) from the grantor’s perspective.</w:t>
            </w:r>
          </w:p>
          <w:p w14:paraId="3D6EE43D" w14:textId="77777777" w:rsidR="00683AED" w:rsidRDefault="00400B1C" w:rsidP="00400B1C">
            <w:pPr>
              <w:pStyle w:val="Tabletext"/>
            </w:pPr>
            <w:r w:rsidRPr="009472DA">
              <w:t xml:space="preserve">AASB 1059 applies to arrangements involving an operator providing public services related to a service concession asset on behalf of a </w:t>
            </w:r>
            <w:r w:rsidR="001D5305" w:rsidRPr="009472DA">
              <w:t>public-sector</w:t>
            </w:r>
            <w:r w:rsidRPr="009472DA">
              <w:t xml:space="preserve"> grantor for a specified period of time and managing at least some of those services. Common examples include roads, prisons, hospitals, water distribution facilities and energy supply.</w:t>
            </w:r>
          </w:p>
          <w:p w14:paraId="6236CF86" w14:textId="275E5A6F" w:rsidR="00683AED" w:rsidRDefault="00400B1C" w:rsidP="00400B1C">
            <w:pPr>
              <w:pStyle w:val="Tabletext"/>
            </w:pPr>
            <w:r w:rsidRPr="009472DA">
              <w:t xml:space="preserve">AASB 1059 will affect all </w:t>
            </w:r>
            <w:r w:rsidR="001D5305" w:rsidRPr="009472DA">
              <w:t>public</w:t>
            </w:r>
            <w:r w:rsidR="00782E79">
              <w:t xml:space="preserve"> </w:t>
            </w:r>
            <w:r w:rsidR="001D5305" w:rsidRPr="009472DA">
              <w:t>sector</w:t>
            </w:r>
            <w:r w:rsidRPr="009472DA">
              <w:t xml:space="preserve"> entity grantors (both for</w:t>
            </w:r>
            <w:r w:rsidRPr="009472DA">
              <w:noBreakHyphen/>
              <w:t>profit and not</w:t>
            </w:r>
            <w:r w:rsidRPr="009472DA">
              <w:noBreakHyphen/>
              <w:t>for</w:t>
            </w:r>
            <w:r w:rsidRPr="009472DA">
              <w:noBreakHyphen/>
              <w:t>profit) involved in SCAs (including grantors of existing, but unrecognised SCAs).</w:t>
            </w:r>
          </w:p>
          <w:p w14:paraId="6BC43FF0" w14:textId="77777777" w:rsidR="00400B1C" w:rsidRPr="00400B1C" w:rsidRDefault="00400B1C" w:rsidP="00400B1C">
            <w:pPr>
              <w:pStyle w:val="Tabletext"/>
            </w:pPr>
            <w:r w:rsidRPr="009472DA">
              <w:t>AASB 1059 requires a grantor to:</w:t>
            </w:r>
          </w:p>
          <w:p w14:paraId="62D5C87B" w14:textId="77777777" w:rsidR="00683AED" w:rsidRDefault="00400B1C" w:rsidP="00400B1C">
            <w:pPr>
              <w:pStyle w:val="Tablebullet"/>
            </w:pPr>
            <w:r w:rsidRPr="009472DA">
              <w:t>recognise an asset provided by the operator (including an upgrade to an existing asset of the grantor) as a service concession asset if the grantor controls the asset. The grantor controls the asset if they:</w:t>
            </w:r>
          </w:p>
          <w:p w14:paraId="3E78FEE9" w14:textId="77777777" w:rsidR="00683AED" w:rsidRDefault="00400B1C" w:rsidP="0061304D">
            <w:pPr>
              <w:pStyle w:val="Tablebullet-2ndlevel"/>
            </w:pPr>
            <w:r w:rsidRPr="009472DA">
              <w:t>control or regulate the services the operator must provide with the asset, to whom it must provide them and at what price, and</w:t>
            </w:r>
          </w:p>
          <w:p w14:paraId="42D7FD85" w14:textId="77777777" w:rsidR="00683AED" w:rsidRDefault="00400B1C" w:rsidP="0061304D">
            <w:pPr>
              <w:pStyle w:val="Tablebullet-2ndlevel"/>
            </w:pPr>
            <w:r w:rsidRPr="009472DA">
              <w:t>control either a significant residual interest in the asset at the end of the arrangement, or control the asset for the whole of the life arrangement</w:t>
            </w:r>
          </w:p>
          <w:p w14:paraId="7325BF17" w14:textId="77777777" w:rsidR="00400B1C" w:rsidRPr="00400B1C" w:rsidRDefault="00400B1C" w:rsidP="00400B1C">
            <w:pPr>
              <w:pStyle w:val="Tablebullet"/>
            </w:pPr>
            <w:r w:rsidRPr="009472DA">
              <w:t>reclassify an existing asset (including recognising previously unrecognised identifiable intangible assets and land under roads) as a service concession asset when it meets the conditions specified above</w:t>
            </w:r>
          </w:p>
          <w:p w14:paraId="0A20C527" w14:textId="77777777" w:rsidR="00400B1C" w:rsidRPr="00400B1C" w:rsidRDefault="00400B1C" w:rsidP="00400B1C">
            <w:pPr>
              <w:pStyle w:val="Tablebullet"/>
            </w:pPr>
            <w:r w:rsidRPr="009472DA">
              <w:t xml:space="preserve">initially measure the service concession asset at current replacement cost (CRC) in accordance with AASB 13 ‘Fair Value Measurement’. After initial recognition or reclassification, account for the service concession asset in accordance with AASB 116 ‘Property, Plant and Equipment’ or AASB 138 ‘Intangible Assets’, as appropriate, except as specified in this </w:t>
            </w:r>
            <w:r w:rsidRPr="00400B1C">
              <w:t>standard</w:t>
            </w:r>
          </w:p>
          <w:p w14:paraId="26381CF2" w14:textId="77777777" w:rsidR="00683AED" w:rsidRDefault="00400B1C" w:rsidP="00400B1C">
            <w:pPr>
              <w:pStyle w:val="Tablebullet"/>
            </w:pPr>
            <w:r w:rsidRPr="009472DA">
              <w:t>recognise a corresponding liability measured initially at the fair value (CRC) of the service concession asset, adjusted for any other consideration between the grantor and the operator; using either or both models (financial liability, or grant of a right to the operator) specified in the standard</w:t>
            </w:r>
          </w:p>
          <w:p w14:paraId="51BB3718" w14:textId="77777777" w:rsidR="00400B1C" w:rsidRDefault="00400B1C" w:rsidP="00400B1C">
            <w:pPr>
              <w:pStyle w:val="Tablebullet"/>
            </w:pPr>
            <w:r w:rsidRPr="009472DA">
              <w:t>disclose sufficient information to enable users of financial statements to understand the nature, amount, timing and uncertainty of assets, liabilities, revenue and cash flows arising from SCAs.</w:t>
            </w:r>
          </w:p>
          <w:p w14:paraId="163D82FD" w14:textId="77777777" w:rsidR="006B0845" w:rsidRPr="00400B1C" w:rsidRDefault="006B0845" w:rsidP="0061304D">
            <w:pPr>
              <w:pStyle w:val="SingleLineText-Half"/>
            </w:pPr>
          </w:p>
          <w:p w14:paraId="50D6F3A2" w14:textId="77777777" w:rsidR="00683AED" w:rsidRDefault="00400B1C" w:rsidP="00400B1C">
            <w:pPr>
              <w:pStyle w:val="Tabletext"/>
            </w:pPr>
            <w:r w:rsidRPr="009472DA">
              <w:t>Grantors must apply AASB 1059 retrospectively:</w:t>
            </w:r>
          </w:p>
          <w:p w14:paraId="614D71E1" w14:textId="77777777" w:rsidR="00400B1C" w:rsidRPr="00400B1C" w:rsidRDefault="00400B1C" w:rsidP="00400B1C">
            <w:pPr>
              <w:pStyle w:val="Tablebullet"/>
            </w:pPr>
            <w:r w:rsidRPr="009472DA">
              <w:t xml:space="preserve">to each prior period presented under AASB 108 ‘Accounting </w:t>
            </w:r>
            <w:r w:rsidRPr="00400B1C">
              <w:t>Policies, Changes in Accounting Estimates and Errors’, or</w:t>
            </w:r>
          </w:p>
          <w:p w14:paraId="7316B162" w14:textId="77777777" w:rsidR="00683AED" w:rsidRDefault="00400B1C" w:rsidP="00400B1C">
            <w:pPr>
              <w:pStyle w:val="Tablebullet"/>
            </w:pPr>
            <w:r w:rsidRPr="009472DA">
              <w:t>by recognising and measuring service concession assets and related liabilities at the date of initial application (being the beginning of the earliest comparative reporting period presented).</w:t>
            </w:r>
          </w:p>
          <w:p w14:paraId="489FE4FA" w14:textId="77777777" w:rsidR="00400B1C" w:rsidRPr="009472DA" w:rsidRDefault="00400B1C" w:rsidP="00400B1C">
            <w:pPr>
              <w:pStyle w:val="SingleLineText-Half"/>
            </w:pPr>
          </w:p>
        </w:tc>
        <w:tc>
          <w:tcPr>
            <w:tcW w:w="2315" w:type="dxa"/>
            <w:tcBorders>
              <w:top w:val="single" w:sz="18" w:space="0" w:color="DEB260" w:themeColor="accent2"/>
            </w:tcBorders>
            <w:hideMark/>
          </w:tcPr>
          <w:p w14:paraId="392025B6" w14:textId="69C01596" w:rsidR="00400B1C" w:rsidRPr="00400B1C" w:rsidRDefault="00400B1C" w:rsidP="00400B1C">
            <w:pPr>
              <w:pStyle w:val="Tabletext"/>
            </w:pPr>
            <w:r w:rsidRPr="009472DA">
              <w:t xml:space="preserve">All </w:t>
            </w:r>
            <w:r w:rsidR="001D5305" w:rsidRPr="009472DA">
              <w:t>public-sector</w:t>
            </w:r>
            <w:r w:rsidRPr="009472DA">
              <w:t xml:space="preserve"> entity grantors for annual reporting periods beginning on or after 1</w:t>
            </w:r>
            <w:r w:rsidR="007012FB">
              <w:t> January </w:t>
            </w:r>
            <w:r w:rsidRPr="00400B1C">
              <w:t>2020</w:t>
            </w:r>
            <w:r w:rsidRPr="00400B1C">
              <w:rPr>
                <w:rStyle w:val="FootnoteReference"/>
              </w:rPr>
              <w:footnoteReference w:id="3"/>
            </w:r>
            <w:r w:rsidRPr="00400B1C">
              <w:t>, with early adoption permitted</w:t>
            </w:r>
          </w:p>
        </w:tc>
      </w:tr>
      <w:tr w:rsidR="006B0845" w14:paraId="61E95DBD" w14:textId="77777777" w:rsidTr="003A3D5A">
        <w:tc>
          <w:tcPr>
            <w:tcW w:w="9398" w:type="dxa"/>
            <w:gridSpan w:val="2"/>
            <w:shd w:val="clear" w:color="auto" w:fill="EFEFF0"/>
            <w:hideMark/>
          </w:tcPr>
          <w:p w14:paraId="1A12E50A" w14:textId="77777777" w:rsidR="006B0845" w:rsidRPr="009472DA" w:rsidRDefault="006B0845" w:rsidP="00400B1C">
            <w:pPr>
              <w:pStyle w:val="Tableheading-leftaligned"/>
            </w:pPr>
            <w:r w:rsidRPr="009472DA">
              <w:t>Council responsibilities</w:t>
            </w:r>
          </w:p>
        </w:tc>
      </w:tr>
      <w:tr w:rsidR="00597DF0" w14:paraId="4A0A4224" w14:textId="77777777" w:rsidTr="003A3D5A">
        <w:tc>
          <w:tcPr>
            <w:tcW w:w="7088" w:type="dxa"/>
            <w:hideMark/>
          </w:tcPr>
          <w:p w14:paraId="50BE02D6" w14:textId="77777777" w:rsidR="00400B1C" w:rsidRPr="00400B1C" w:rsidRDefault="00400B1C" w:rsidP="00400B1C">
            <w:pPr>
              <w:pStyle w:val="Tabletext"/>
            </w:pPr>
            <w:r w:rsidRPr="009472DA">
              <w:t>Councils should:</w:t>
            </w:r>
          </w:p>
          <w:p w14:paraId="247FAA27" w14:textId="4013F38B" w:rsidR="00400B1C" w:rsidRPr="00400B1C" w:rsidRDefault="00400B1C" w:rsidP="00400B1C">
            <w:pPr>
              <w:pStyle w:val="Tablebullet"/>
            </w:pPr>
            <w:r w:rsidRPr="009472DA">
              <w:t>understand the requirements of the new standard</w:t>
            </w:r>
            <w:r w:rsidR="00EC361E">
              <w:t xml:space="preserve"> and authoritative implementation guidance published by the AASB</w:t>
            </w:r>
          </w:p>
          <w:p w14:paraId="50AF6EE9" w14:textId="77777777" w:rsidR="00683AED" w:rsidRDefault="00400B1C" w:rsidP="00400B1C">
            <w:pPr>
              <w:pStyle w:val="Tablebullet"/>
            </w:pPr>
            <w:r w:rsidRPr="009472DA">
              <w:t>assess the terms and conditions of existing arrangements with private sector operators to assess whether they fall within the scope of AASB 1059 and meet the criteria for recognition as a SCA or whether they are a leasing or outsourcing arrangement</w:t>
            </w:r>
          </w:p>
          <w:p w14:paraId="753ECB31" w14:textId="77777777" w:rsidR="00400B1C" w:rsidRPr="00400B1C" w:rsidRDefault="00400B1C" w:rsidP="00400B1C">
            <w:pPr>
              <w:pStyle w:val="Tablebullet"/>
            </w:pPr>
            <w:r w:rsidRPr="009472DA">
              <w:t>discuss their assessment with the ARIC and auditors</w:t>
            </w:r>
          </w:p>
          <w:p w14:paraId="0505FBE2" w14:textId="77777777" w:rsidR="00400B1C" w:rsidRPr="00400B1C" w:rsidRDefault="00400B1C" w:rsidP="00400B1C">
            <w:pPr>
              <w:pStyle w:val="Tablebullet"/>
            </w:pPr>
            <w:r w:rsidRPr="009472DA">
              <w:t xml:space="preserve">consider </w:t>
            </w:r>
            <w:r w:rsidRPr="00400B1C">
              <w:t>the impact of this issued, but not yet effective standard and make appropriate disclosures under AASB 108 ‘Accounting Policies, Changes in Accounting Estimates and Errors’</w:t>
            </w:r>
          </w:p>
          <w:p w14:paraId="519CC1ED" w14:textId="77777777" w:rsidR="00683AED" w:rsidRDefault="00400B1C" w:rsidP="00400B1C">
            <w:pPr>
              <w:pStyle w:val="Tablebullet"/>
            </w:pPr>
            <w:r w:rsidRPr="009472DA">
              <w:t>if an arrangement falls within the scope of AASB 1059, develop an implementation plan to apply AASB 1059.</w:t>
            </w:r>
          </w:p>
          <w:p w14:paraId="05C87D1D" w14:textId="77777777" w:rsidR="00400B1C" w:rsidRPr="009472DA" w:rsidRDefault="00400B1C" w:rsidP="00400B1C">
            <w:pPr>
              <w:pStyle w:val="SingleLineText-Half"/>
            </w:pPr>
          </w:p>
        </w:tc>
        <w:tc>
          <w:tcPr>
            <w:tcW w:w="2315" w:type="dxa"/>
          </w:tcPr>
          <w:p w14:paraId="7774771B" w14:textId="77777777" w:rsidR="00400B1C" w:rsidRPr="009472DA" w:rsidRDefault="00400B1C" w:rsidP="00400B1C">
            <w:pPr>
              <w:pStyle w:val="Tabletext"/>
            </w:pPr>
          </w:p>
        </w:tc>
      </w:tr>
      <w:tr w:rsidR="006B0845" w14:paraId="18B56215" w14:textId="77777777" w:rsidTr="003A3D5A">
        <w:tc>
          <w:tcPr>
            <w:tcW w:w="9398" w:type="dxa"/>
            <w:gridSpan w:val="2"/>
            <w:shd w:val="clear" w:color="auto" w:fill="EFEFF0"/>
            <w:hideMark/>
          </w:tcPr>
          <w:p w14:paraId="06983852" w14:textId="77777777" w:rsidR="006B0845" w:rsidRPr="00400B1C" w:rsidRDefault="006B0845" w:rsidP="00400B1C">
            <w:pPr>
              <w:pStyle w:val="Tableheading-leftaligned"/>
            </w:pPr>
            <w:r w:rsidRPr="009472DA">
              <w:t>Responsibilities of Audit, Risk and Improvement Committees and those charged with governance</w:t>
            </w:r>
          </w:p>
        </w:tc>
      </w:tr>
      <w:tr w:rsidR="00597DF0" w14:paraId="516B52C0" w14:textId="77777777" w:rsidTr="003A3D5A">
        <w:tc>
          <w:tcPr>
            <w:tcW w:w="7088" w:type="dxa"/>
            <w:hideMark/>
          </w:tcPr>
          <w:p w14:paraId="01806D44" w14:textId="77777777" w:rsidR="00400B1C" w:rsidRPr="00400B1C" w:rsidRDefault="00400B1C" w:rsidP="00400B1C">
            <w:pPr>
              <w:pStyle w:val="Tabletext"/>
            </w:pPr>
            <w:r w:rsidRPr="009472DA">
              <w:t>ARICs and those charged with governance should:</w:t>
            </w:r>
          </w:p>
          <w:p w14:paraId="36EC6E92" w14:textId="77777777" w:rsidR="00683AED" w:rsidRDefault="00400B1C" w:rsidP="00400B1C">
            <w:pPr>
              <w:pStyle w:val="Tablebullet"/>
            </w:pPr>
            <w:r w:rsidRPr="009472DA">
              <w:t>understand the new standard</w:t>
            </w:r>
          </w:p>
          <w:p w14:paraId="275A989B" w14:textId="77777777" w:rsidR="00400B1C" w:rsidRPr="00400B1C" w:rsidRDefault="00400B1C" w:rsidP="00400B1C">
            <w:pPr>
              <w:pStyle w:val="Tablebullet"/>
            </w:pPr>
            <w:r w:rsidRPr="009472DA">
              <w:t>review management’s assessment of whether any current arrangements fall within the scope of AASB 1059</w:t>
            </w:r>
          </w:p>
          <w:p w14:paraId="599D2EC6" w14:textId="77777777" w:rsidR="00400B1C" w:rsidRPr="00400B1C" w:rsidRDefault="00400B1C" w:rsidP="00400B1C">
            <w:pPr>
              <w:pStyle w:val="Tablebullet"/>
            </w:pPr>
            <w:r>
              <w:t>i</w:t>
            </w:r>
            <w:r w:rsidRPr="00400B1C">
              <w:t>f an arrangement falls within the scope of AASB 1059:</w:t>
            </w:r>
          </w:p>
          <w:p w14:paraId="7E18522B" w14:textId="77777777" w:rsidR="00400B1C" w:rsidRPr="00400B1C" w:rsidRDefault="00400B1C" w:rsidP="00A66D5A">
            <w:pPr>
              <w:pStyle w:val="Tablebullet-2ndlevel"/>
            </w:pPr>
            <w:r w:rsidRPr="009472DA">
              <w:t xml:space="preserve">ensure management has adequately planned for its effective application, including disclosure of the impact in the </w:t>
            </w:r>
            <w:r w:rsidRPr="00400B1C">
              <w:t>current year financial statements</w:t>
            </w:r>
          </w:p>
          <w:p w14:paraId="06153F93" w14:textId="77777777" w:rsidR="00400B1C" w:rsidRPr="00400B1C" w:rsidRDefault="00400B1C" w:rsidP="00A66D5A">
            <w:pPr>
              <w:pStyle w:val="Tablebullet-2ndlevel"/>
            </w:pPr>
            <w:r w:rsidRPr="009472DA">
              <w:t>monitor progress against the plan and the requirements of the standard.</w:t>
            </w:r>
          </w:p>
          <w:p w14:paraId="783498EE" w14:textId="77777777" w:rsidR="00400B1C" w:rsidRPr="009472DA" w:rsidRDefault="00400B1C" w:rsidP="00400B1C">
            <w:pPr>
              <w:pStyle w:val="SingleLineText-Half"/>
            </w:pPr>
          </w:p>
        </w:tc>
        <w:tc>
          <w:tcPr>
            <w:tcW w:w="2315" w:type="dxa"/>
          </w:tcPr>
          <w:p w14:paraId="14DBDAF3" w14:textId="77777777" w:rsidR="00400B1C" w:rsidRPr="009472DA" w:rsidRDefault="00400B1C" w:rsidP="00400B1C">
            <w:pPr>
              <w:pStyle w:val="Tabletext"/>
            </w:pPr>
          </w:p>
        </w:tc>
      </w:tr>
    </w:tbl>
    <w:p w14:paraId="1D526B9D" w14:textId="77777777" w:rsidR="00400B1C" w:rsidRPr="009472DA" w:rsidRDefault="00400B1C" w:rsidP="0061304D">
      <w:pPr>
        <w:pStyle w:val="SingleLineText-Half"/>
      </w:pPr>
    </w:p>
    <w:p w14:paraId="7DF73408" w14:textId="77777777" w:rsidR="00400B1C" w:rsidRPr="00AD7B44" w:rsidRDefault="00400B1C" w:rsidP="0061304D">
      <w:r w:rsidRPr="00AD7B44">
        <w:br w:type="page"/>
      </w:r>
    </w:p>
    <w:p w14:paraId="0F941A7C" w14:textId="77777777" w:rsidR="00400B1C" w:rsidRPr="009472DA" w:rsidRDefault="00400B1C" w:rsidP="00400B1C">
      <w:pPr>
        <w:pStyle w:val="Heading1Red"/>
      </w:pPr>
      <w:bookmarkStart w:id="4" w:name="_Toc26256441"/>
      <w:r w:rsidRPr="009472DA">
        <w:t>Other new financial reporting pronouncements</w:t>
      </w:r>
      <w:bookmarkEnd w:id="4"/>
    </w:p>
    <w:p w14:paraId="3FC8B906" w14:textId="026ECF28" w:rsidR="00683AED" w:rsidRDefault="00400B1C" w:rsidP="00400B1C">
      <w:pPr>
        <w:pStyle w:val="BodyText"/>
      </w:pPr>
      <w:r w:rsidRPr="009472DA">
        <w:t>The following pronouncements, which may affect councils</w:t>
      </w:r>
      <w:r>
        <w:t xml:space="preserve"> and their</w:t>
      </w:r>
      <w:r w:rsidRPr="009472DA">
        <w:t xml:space="preserve"> controlled entities’</w:t>
      </w:r>
      <w:r>
        <w:t>, and JOs</w:t>
      </w:r>
      <w:r w:rsidR="00782E79">
        <w:t>’</w:t>
      </w:r>
      <w:r w:rsidRPr="009472DA">
        <w:t xml:space="preserve"> financial statements and/or annual reports, were issued</w:t>
      </w:r>
      <w:r w:rsidRPr="009472DA">
        <w:rPr>
          <w:rStyle w:val="FootnoteReference"/>
        </w:rPr>
        <w:footnoteReference w:id="4"/>
      </w:r>
      <w:r w:rsidRPr="009472DA">
        <w:t xml:space="preserve"> between 1</w:t>
      </w:r>
      <w:r w:rsidR="007012FB">
        <w:t> </w:t>
      </w:r>
      <w:r w:rsidR="00EC361E">
        <w:t>January </w:t>
      </w:r>
      <w:r w:rsidR="00EC361E" w:rsidRPr="009472DA">
        <w:t>201</w:t>
      </w:r>
      <w:r w:rsidR="00EC361E">
        <w:t>9</w:t>
      </w:r>
      <w:r w:rsidR="00EC361E" w:rsidRPr="009472DA">
        <w:t xml:space="preserve"> </w:t>
      </w:r>
      <w:r w:rsidRPr="009472DA">
        <w:t xml:space="preserve">and </w:t>
      </w:r>
      <w:r w:rsidR="000119EB">
        <w:t>2</w:t>
      </w:r>
      <w:r w:rsidR="00EC361E">
        <w:t> December </w:t>
      </w:r>
      <w:r w:rsidRPr="009472DA">
        <w:t>201</w:t>
      </w:r>
      <w:r>
        <w:t>9</w:t>
      </w:r>
      <w:r w:rsidRPr="009472DA">
        <w:t>.</w:t>
      </w:r>
    </w:p>
    <w:p w14:paraId="126EFAF1" w14:textId="77777777" w:rsidR="00400B1C" w:rsidRPr="009472DA" w:rsidRDefault="00400B1C" w:rsidP="00400B1C">
      <w:pPr>
        <w:pStyle w:val="BodyText"/>
      </w:pPr>
      <w:r w:rsidRPr="009472DA">
        <w:t xml:space="preserve">The table below does not include </w:t>
      </w:r>
      <w:r>
        <w:t xml:space="preserve">accounting standards issued during the period if an </w:t>
      </w:r>
      <w:r w:rsidRPr="009472DA">
        <w:t xml:space="preserve">overview has </w:t>
      </w:r>
      <w:r>
        <w:t xml:space="preserve">already </w:t>
      </w:r>
      <w:r w:rsidRPr="009472DA">
        <w:t>been provided in the table above.</w:t>
      </w:r>
    </w:p>
    <w:p w14:paraId="469DA845" w14:textId="77777777" w:rsidR="00400B1C" w:rsidRPr="009472DA" w:rsidRDefault="00400B1C" w:rsidP="00400B1C">
      <w:pPr>
        <w:pStyle w:val="Heading2"/>
      </w:pPr>
      <w:bookmarkStart w:id="5" w:name="_Toc26256442"/>
      <w:r w:rsidRPr="009472DA">
        <w:t>Australian Accounting Standards</w:t>
      </w:r>
      <w:bookmarkEnd w:id="5"/>
    </w:p>
    <w:tbl>
      <w:tblPr>
        <w:tblW w:w="9072" w:type="dxa"/>
        <w:tblBorders>
          <w:bottom w:val="single" w:sz="4" w:space="0" w:color="auto"/>
        </w:tblBorders>
        <w:tblLayout w:type="fixed"/>
        <w:tblLook w:val="04A0" w:firstRow="1" w:lastRow="0" w:firstColumn="1" w:lastColumn="0" w:noHBand="0" w:noVBand="1"/>
      </w:tblPr>
      <w:tblGrid>
        <w:gridCol w:w="4253"/>
        <w:gridCol w:w="2410"/>
        <w:gridCol w:w="2409"/>
      </w:tblGrid>
      <w:tr w:rsidR="00A91642" w14:paraId="0FF91C3F" w14:textId="77777777" w:rsidTr="003A3D5A">
        <w:trPr>
          <w:tblHeader/>
        </w:trPr>
        <w:tc>
          <w:tcPr>
            <w:tcW w:w="4253" w:type="dxa"/>
            <w:tcBorders>
              <w:bottom w:val="single" w:sz="18" w:space="0" w:color="D9AD5F"/>
            </w:tcBorders>
            <w:shd w:val="clear" w:color="auto" w:fill="auto"/>
            <w:vAlign w:val="center"/>
            <w:hideMark/>
          </w:tcPr>
          <w:p w14:paraId="294D4C2A" w14:textId="77777777" w:rsidR="00400B1C" w:rsidRPr="00400B1C" w:rsidRDefault="00400B1C" w:rsidP="00400B1C">
            <w:pPr>
              <w:pStyle w:val="Tableheading-leftaligned"/>
            </w:pPr>
            <w:r w:rsidRPr="009472DA">
              <w:t>Reference/Title</w:t>
            </w:r>
          </w:p>
        </w:tc>
        <w:tc>
          <w:tcPr>
            <w:tcW w:w="2410" w:type="dxa"/>
            <w:tcBorders>
              <w:bottom w:val="single" w:sz="18" w:space="0" w:color="D9AD5F"/>
            </w:tcBorders>
            <w:shd w:val="clear" w:color="auto" w:fill="auto"/>
            <w:vAlign w:val="center"/>
            <w:hideMark/>
          </w:tcPr>
          <w:p w14:paraId="156FACB8" w14:textId="77777777" w:rsidR="00400B1C" w:rsidRPr="00400B1C" w:rsidRDefault="00400B1C" w:rsidP="00400B1C">
            <w:pPr>
              <w:pStyle w:val="Tableheading-leftaligned"/>
            </w:pPr>
            <w:r w:rsidRPr="009472DA">
              <w:t>Effective date</w:t>
            </w:r>
          </w:p>
        </w:tc>
        <w:tc>
          <w:tcPr>
            <w:tcW w:w="2409" w:type="dxa"/>
            <w:tcBorders>
              <w:bottom w:val="single" w:sz="18" w:space="0" w:color="D9AD5F"/>
            </w:tcBorders>
            <w:shd w:val="clear" w:color="auto" w:fill="auto"/>
            <w:vAlign w:val="center"/>
            <w:hideMark/>
          </w:tcPr>
          <w:p w14:paraId="7841D0ED" w14:textId="77777777" w:rsidR="00400B1C" w:rsidRPr="00400B1C" w:rsidRDefault="00400B1C" w:rsidP="00400B1C">
            <w:pPr>
              <w:pStyle w:val="Tableheading-leftaligned"/>
            </w:pPr>
            <w:r w:rsidRPr="009472DA">
              <w:t>Standards amended/replaced</w:t>
            </w:r>
          </w:p>
        </w:tc>
      </w:tr>
      <w:tr w:rsidR="003B09A1" w14:paraId="14000E9D" w14:textId="77777777" w:rsidTr="003A3D5A">
        <w:tc>
          <w:tcPr>
            <w:tcW w:w="9072" w:type="dxa"/>
            <w:gridSpan w:val="3"/>
            <w:tcBorders>
              <w:top w:val="single" w:sz="18" w:space="0" w:color="D9AD5F"/>
              <w:bottom w:val="nil"/>
            </w:tcBorders>
            <w:shd w:val="clear" w:color="auto" w:fill="EFEFF0"/>
            <w:hideMark/>
          </w:tcPr>
          <w:p w14:paraId="62BD5202" w14:textId="1054A9E8" w:rsidR="003B09A1" w:rsidRPr="00400B1C" w:rsidRDefault="00EC361E" w:rsidP="00400B1C">
            <w:pPr>
              <w:pStyle w:val="Tableheading-leftaligned"/>
            </w:pPr>
            <w:r w:rsidRPr="00EC361E">
              <w:t>2019-1 ‘Amendments to Australian Accounting Standards – References to the Conceptual Framework’</w:t>
            </w:r>
          </w:p>
        </w:tc>
      </w:tr>
      <w:tr w:rsidR="00400B1C" w14:paraId="592D940F" w14:textId="77777777" w:rsidTr="003A3D5A">
        <w:tc>
          <w:tcPr>
            <w:tcW w:w="4253" w:type="dxa"/>
            <w:tcBorders>
              <w:top w:val="nil"/>
            </w:tcBorders>
          </w:tcPr>
          <w:p w14:paraId="2C5A8101" w14:textId="77777777" w:rsidR="00400B1C" w:rsidRPr="00400B1C" w:rsidRDefault="00400B1C" w:rsidP="00400B1C">
            <w:pPr>
              <w:pStyle w:val="Tabletext"/>
            </w:pPr>
            <w:r>
              <w:t>This Standard amends Australian Accounting Standards, Interpretations and other pronouncements to:</w:t>
            </w:r>
          </w:p>
          <w:p w14:paraId="2713BBF0" w14:textId="0CF9A081" w:rsidR="00683AED" w:rsidRDefault="00400B1C" w:rsidP="00400B1C">
            <w:pPr>
              <w:pStyle w:val="Tablebullet"/>
            </w:pPr>
            <w:r w:rsidRPr="00D60545">
              <w:t xml:space="preserve">reflect the AASB’s issue of the new </w:t>
            </w:r>
            <w:r w:rsidR="00EA4DDE">
              <w:t>‘</w:t>
            </w:r>
            <w:r w:rsidRPr="00D60545">
              <w:t xml:space="preserve">Conceptual Framework for Financial Reporting </w:t>
            </w:r>
            <w:r w:rsidRPr="00400B1C">
              <w:t>(new Conceptual Framework)</w:t>
            </w:r>
            <w:r w:rsidR="00EA4DDE">
              <w:t>’</w:t>
            </w:r>
          </w:p>
          <w:p w14:paraId="3B1D9EFC" w14:textId="77777777" w:rsidR="00400B1C" w:rsidRDefault="00400B1C" w:rsidP="00400B1C">
            <w:pPr>
              <w:pStyle w:val="Tablebullet"/>
            </w:pPr>
            <w:r w:rsidRPr="00D5560A">
              <w:t xml:space="preserve">permit other entities to continue </w:t>
            </w:r>
            <w:r w:rsidRPr="00400B1C">
              <w:t>using the ‘Framework for the Preparation and Presentation of Financial Statements’ adopted by the AASB in 2004 and Statement of Accounting Concepts SAC 1 ‘Definition of the Reporting Entity’ to determine whether they are a reporting entity that needs to prepare general purpose financial statements that comply with Australian Accounting Standards.</w:t>
            </w:r>
          </w:p>
          <w:p w14:paraId="7A68F73F" w14:textId="77777777" w:rsidR="003B09A1" w:rsidRPr="00400B1C" w:rsidRDefault="003B09A1" w:rsidP="0061304D">
            <w:pPr>
              <w:pStyle w:val="SingleLineText-Half"/>
            </w:pPr>
          </w:p>
          <w:p w14:paraId="27E21397" w14:textId="77777777" w:rsidR="00400B1C" w:rsidRPr="00400B1C" w:rsidRDefault="00400B1C" w:rsidP="00400B1C">
            <w:pPr>
              <w:pStyle w:val="Tabletext"/>
            </w:pPr>
            <w:r>
              <w:t>Application of the new Conceptual Framework is presently limited to:</w:t>
            </w:r>
          </w:p>
          <w:p w14:paraId="27164A52" w14:textId="77777777" w:rsidR="00400B1C" w:rsidRPr="00400B1C" w:rsidRDefault="00400B1C" w:rsidP="00400B1C">
            <w:pPr>
              <w:pStyle w:val="Tablebullet"/>
            </w:pPr>
            <w:r>
              <w:t xml:space="preserve">for-profit private sector entities that have public accountability and are required by legislation to comply with Australian Accounting </w:t>
            </w:r>
            <w:r w:rsidRPr="00400B1C">
              <w:t>Standards; and</w:t>
            </w:r>
          </w:p>
          <w:p w14:paraId="1D2DE3B0" w14:textId="77777777" w:rsidR="00400B1C" w:rsidRDefault="00400B1C" w:rsidP="00400B1C">
            <w:pPr>
              <w:pStyle w:val="Tablebullet"/>
            </w:pPr>
            <w:r>
              <w:t>other for-profit entities that voluntarily elect to apply the Conceptual Framework, which would permit compliance with Australian Accounting Standards (Tier 1) and International Financial Reporting Standards.</w:t>
            </w:r>
          </w:p>
          <w:p w14:paraId="04849DC0" w14:textId="77777777" w:rsidR="003B09A1" w:rsidRPr="00400B1C" w:rsidRDefault="003B09A1" w:rsidP="0061304D">
            <w:pPr>
              <w:pStyle w:val="SingleLineText-Half"/>
            </w:pPr>
          </w:p>
        </w:tc>
        <w:tc>
          <w:tcPr>
            <w:tcW w:w="2410" w:type="dxa"/>
            <w:tcBorders>
              <w:top w:val="nil"/>
            </w:tcBorders>
          </w:tcPr>
          <w:p w14:paraId="6EA474D0" w14:textId="1B06D1F8" w:rsidR="00400B1C" w:rsidRPr="00400B1C" w:rsidRDefault="00400B1C" w:rsidP="00400B1C">
            <w:pPr>
              <w:pStyle w:val="Tabletext"/>
            </w:pPr>
            <w:r>
              <w:t>Annual reporting periods on or after 1</w:t>
            </w:r>
            <w:r w:rsidR="007012FB">
              <w:t> January </w:t>
            </w:r>
            <w:r>
              <w:t>2020, with early application permitted</w:t>
            </w:r>
          </w:p>
        </w:tc>
        <w:tc>
          <w:tcPr>
            <w:tcW w:w="2409" w:type="dxa"/>
            <w:tcBorders>
              <w:top w:val="nil"/>
            </w:tcBorders>
          </w:tcPr>
          <w:p w14:paraId="362233E4" w14:textId="77777777" w:rsidR="00400B1C" w:rsidRPr="00400B1C" w:rsidRDefault="00400B1C" w:rsidP="00400B1C">
            <w:pPr>
              <w:pStyle w:val="Tabletext"/>
            </w:pPr>
            <w:r>
              <w:t>Various</w:t>
            </w:r>
          </w:p>
        </w:tc>
      </w:tr>
      <w:tr w:rsidR="00E11AC6" w14:paraId="0FABAD66" w14:textId="77777777" w:rsidTr="003A3D5A">
        <w:tc>
          <w:tcPr>
            <w:tcW w:w="9072" w:type="dxa"/>
            <w:gridSpan w:val="3"/>
            <w:shd w:val="clear" w:color="auto" w:fill="EFEFF0"/>
          </w:tcPr>
          <w:p w14:paraId="650F1BD5" w14:textId="77777777" w:rsidR="00E11AC6" w:rsidRDefault="00E11AC6" w:rsidP="00400B1C">
            <w:pPr>
              <w:pStyle w:val="Tabletext"/>
            </w:pPr>
            <w:r w:rsidRPr="006D32C2">
              <w:rPr>
                <w:b/>
              </w:rPr>
              <w:t>2019-2 ‘Amendments to Australian Accounting Standards – Implementation of AASB 1059’</w:t>
            </w:r>
          </w:p>
        </w:tc>
      </w:tr>
      <w:tr w:rsidR="00E11AC6" w14:paraId="50CF7D80" w14:textId="77777777" w:rsidTr="003A3D5A">
        <w:tc>
          <w:tcPr>
            <w:tcW w:w="4253" w:type="dxa"/>
          </w:tcPr>
          <w:p w14:paraId="4827CE90" w14:textId="16558AF1" w:rsidR="003B729C" w:rsidRDefault="00E11AC6" w:rsidP="00E11AC6">
            <w:pPr>
              <w:pStyle w:val="Tabletext"/>
            </w:pPr>
            <w:r>
              <w:t xml:space="preserve">This Standard </w:t>
            </w:r>
            <w:r w:rsidR="003B729C">
              <w:t xml:space="preserve">amends </w:t>
            </w:r>
            <w:r>
              <w:t xml:space="preserve">AASB 1059 </w:t>
            </w:r>
            <w:r w:rsidR="003B729C">
              <w:t>‘</w:t>
            </w:r>
            <w:r>
              <w:t>Service Concession Arrangements: Grantors</w:t>
            </w:r>
            <w:r w:rsidR="003B729C">
              <w:t>’</w:t>
            </w:r>
            <w:r>
              <w:t xml:space="preserve"> to</w:t>
            </w:r>
            <w:r w:rsidR="003B729C">
              <w:t>:</w:t>
            </w:r>
          </w:p>
          <w:p w14:paraId="3A2C401B" w14:textId="628A51D0" w:rsidR="003B729C" w:rsidRDefault="00EC361E" w:rsidP="003B729C">
            <w:pPr>
              <w:pStyle w:val="Tablebullet"/>
            </w:pPr>
            <w:r>
              <w:t>change</w:t>
            </w:r>
            <w:r w:rsidR="003B729C" w:rsidRPr="0027499C">
              <w:t xml:space="preserve"> the</w:t>
            </w:r>
            <w:r w:rsidR="003B729C">
              <w:t xml:space="preserve"> modified r</w:t>
            </w:r>
            <w:r w:rsidR="003B729C" w:rsidRPr="0027499C">
              <w:t xml:space="preserve">etrospective approach set out in AASB </w:t>
            </w:r>
            <w:r w:rsidR="003B729C">
              <w:t>paragraph C4 to:</w:t>
            </w:r>
          </w:p>
          <w:p w14:paraId="4EA424D3" w14:textId="706FB9E9" w:rsidR="003B729C" w:rsidRPr="00692997" w:rsidRDefault="003B729C" w:rsidP="003B729C">
            <w:pPr>
              <w:pStyle w:val="Tablebullet-2ndlevel"/>
            </w:pPr>
            <w:r w:rsidRPr="00692997">
              <w:t xml:space="preserve">specify </w:t>
            </w:r>
            <w:r w:rsidR="00EA4DDE">
              <w:t>the</w:t>
            </w:r>
            <w:r w:rsidRPr="00692997">
              <w:t xml:space="preserve"> financial liability should be recognised at </w:t>
            </w:r>
            <w:r w:rsidR="00EC361E">
              <w:t>t</w:t>
            </w:r>
            <w:r w:rsidRPr="00692997">
              <w:t xml:space="preserve">he date of initial application; </w:t>
            </w:r>
          </w:p>
          <w:p w14:paraId="0A258467" w14:textId="77777777" w:rsidR="003B729C" w:rsidRDefault="003B729C" w:rsidP="003B729C">
            <w:pPr>
              <w:pStyle w:val="Tablebullet-2ndlevel"/>
            </w:pPr>
            <w:r>
              <w:t>amend the method for measuring the liability under the Grant of a Right to the Operator (GORTO) model;</w:t>
            </w:r>
          </w:p>
          <w:p w14:paraId="5C551D69" w14:textId="093C0A45" w:rsidR="003B729C" w:rsidRPr="0027499C" w:rsidRDefault="003B729C" w:rsidP="003B729C">
            <w:pPr>
              <w:pStyle w:val="Tablebullet-2ndlevel"/>
            </w:pPr>
            <w:r>
              <w:t>specify the method for measuring the liability where the operat</w:t>
            </w:r>
            <w:r w:rsidR="00EC361E">
              <w:t>o</w:t>
            </w:r>
            <w:r>
              <w:t>r has provided additional consideration for access to an existing asset of the grantor</w:t>
            </w:r>
          </w:p>
          <w:p w14:paraId="4856359D" w14:textId="77777777" w:rsidR="003B729C" w:rsidRDefault="003B729C" w:rsidP="003B729C">
            <w:pPr>
              <w:pStyle w:val="Tablebullet"/>
            </w:pPr>
            <w:r>
              <w:t>make editorial amndments to the accompanying application and implementation guidance.</w:t>
            </w:r>
          </w:p>
          <w:p w14:paraId="2E53942A" w14:textId="77777777" w:rsidR="003B729C" w:rsidRDefault="003B729C" w:rsidP="003B729C">
            <w:pPr>
              <w:pStyle w:val="SingleLineText-Half"/>
            </w:pPr>
          </w:p>
          <w:p w14:paraId="45CB53C2" w14:textId="13A8E0CB" w:rsidR="00E11AC6" w:rsidRDefault="003B729C" w:rsidP="003A3D5A">
            <w:pPr>
              <w:pStyle w:val="Tablebullet"/>
              <w:numPr>
                <w:ilvl w:val="0"/>
                <w:numId w:val="0"/>
              </w:numPr>
            </w:pPr>
            <w:r>
              <w:t xml:space="preserve">This Standard also amends AASB 16 ‘Leases’ to </w:t>
            </w:r>
            <w:r w:rsidR="005A422E">
              <w:t xml:space="preserve">provide a practical expedient to grantors of service concession arrangements so that AASB 16 would not need to be applied to assets that would be recognised as service concession assets </w:t>
            </w:r>
            <w:r>
              <w:t>under AASB 1059.</w:t>
            </w:r>
          </w:p>
        </w:tc>
        <w:tc>
          <w:tcPr>
            <w:tcW w:w="2410" w:type="dxa"/>
          </w:tcPr>
          <w:p w14:paraId="24590FDF" w14:textId="355D8ADC" w:rsidR="00E11AC6" w:rsidRDefault="00E11AC6" w:rsidP="00E11AC6">
            <w:pPr>
              <w:pStyle w:val="Tabletext"/>
            </w:pPr>
            <w:r>
              <w:t xml:space="preserve">Annual reporting periods on or after 1 January 2020, with early </w:t>
            </w:r>
            <w:r w:rsidR="003B729C">
              <w:t>application</w:t>
            </w:r>
            <w:r>
              <w:t xml:space="preserve"> permitted</w:t>
            </w:r>
          </w:p>
        </w:tc>
        <w:tc>
          <w:tcPr>
            <w:tcW w:w="2409" w:type="dxa"/>
          </w:tcPr>
          <w:p w14:paraId="07C2A20D" w14:textId="77777777" w:rsidR="00E11AC6" w:rsidRDefault="00E11AC6" w:rsidP="00E11AC6">
            <w:pPr>
              <w:pStyle w:val="Tabletext"/>
            </w:pPr>
            <w:r>
              <w:t>AASB 16 and AASB 1059</w:t>
            </w:r>
          </w:p>
        </w:tc>
      </w:tr>
      <w:tr w:rsidR="00D52186" w14:paraId="1D8BF7DB" w14:textId="77777777" w:rsidTr="003A3D5A">
        <w:tc>
          <w:tcPr>
            <w:tcW w:w="9072" w:type="dxa"/>
            <w:gridSpan w:val="3"/>
            <w:shd w:val="clear" w:color="auto" w:fill="EFEFF0"/>
          </w:tcPr>
          <w:p w14:paraId="430E7ADB" w14:textId="77777777" w:rsidR="00D52186" w:rsidRPr="00A66D5A" w:rsidRDefault="00D52186" w:rsidP="00D52186">
            <w:pPr>
              <w:pStyle w:val="Tabletext"/>
              <w:rPr>
                <w:b/>
              </w:rPr>
            </w:pPr>
            <w:r>
              <w:rPr>
                <w:b/>
              </w:rPr>
              <w:t>2019-3</w:t>
            </w:r>
            <w:r w:rsidRPr="00A74CEC">
              <w:rPr>
                <w:b/>
              </w:rPr>
              <w:t xml:space="preserve"> ‘Amendments to Australian Accounting Standards – Interest Rate Benchmark Reform'</w:t>
            </w:r>
          </w:p>
        </w:tc>
      </w:tr>
      <w:tr w:rsidR="00D52186" w14:paraId="17D3F7AB" w14:textId="77777777" w:rsidTr="003A3D5A">
        <w:tc>
          <w:tcPr>
            <w:tcW w:w="4253" w:type="dxa"/>
          </w:tcPr>
          <w:p w14:paraId="1DB04D4D" w14:textId="77777777" w:rsidR="00D52186" w:rsidRDefault="00D52186" w:rsidP="00D52186">
            <w:pPr>
              <w:pStyle w:val="Tabletext"/>
            </w:pPr>
            <w:bookmarkStart w:id="6" w:name="_Hlk20902126"/>
            <w:r w:rsidRPr="00EF4905">
              <w:rPr>
                <w:lang w:val="en-US"/>
              </w:rPr>
              <w:t>The Standard amends AASB 7, AASB 9 and AASB 139 to modify some specific hedge accounting requirements to provide relief from the potential effects of the uncertainty caused by the interest rate benchmark reform. In addition, the amendments require entities to provide additional information about their hedging relationships that are directly affected by these uncertainties</w:t>
            </w:r>
            <w:bookmarkStart w:id="7" w:name="_Hlk22116161"/>
            <w:r>
              <w:rPr>
                <w:lang w:val="en-US"/>
              </w:rPr>
              <w:t>.</w:t>
            </w:r>
            <w:bookmarkEnd w:id="6"/>
            <w:bookmarkEnd w:id="7"/>
          </w:p>
        </w:tc>
        <w:tc>
          <w:tcPr>
            <w:tcW w:w="2410" w:type="dxa"/>
          </w:tcPr>
          <w:p w14:paraId="0F92340E" w14:textId="77777777" w:rsidR="00D52186" w:rsidRDefault="00D52186" w:rsidP="00D52186">
            <w:pPr>
              <w:pStyle w:val="Tabletext"/>
            </w:pPr>
            <w:r w:rsidRPr="001C4048">
              <w:t>Annual reporting periods on or after 1 January 2020, with early application permitted</w:t>
            </w:r>
          </w:p>
        </w:tc>
        <w:tc>
          <w:tcPr>
            <w:tcW w:w="2409" w:type="dxa"/>
          </w:tcPr>
          <w:p w14:paraId="76E3AF96" w14:textId="548BB278" w:rsidR="00D52186" w:rsidRDefault="00D52186" w:rsidP="00D52186">
            <w:pPr>
              <w:pStyle w:val="Tabletext"/>
            </w:pPr>
            <w:r w:rsidRPr="00A74CEC">
              <w:t>AASB 7, AASB 9 and AASB 139</w:t>
            </w:r>
          </w:p>
        </w:tc>
      </w:tr>
      <w:tr w:rsidR="00E54324" w:rsidRPr="00547499" w14:paraId="1C79EA61" w14:textId="77777777" w:rsidTr="003A3D5A">
        <w:tc>
          <w:tcPr>
            <w:tcW w:w="9072" w:type="dxa"/>
            <w:gridSpan w:val="3"/>
            <w:shd w:val="clear" w:color="auto" w:fill="EFEFF0"/>
          </w:tcPr>
          <w:p w14:paraId="518CAA9B" w14:textId="0FA9BCC5" w:rsidR="00E54324" w:rsidRPr="007C25B3" w:rsidRDefault="00E54324" w:rsidP="007C25B3">
            <w:pPr>
              <w:pStyle w:val="Tabletext"/>
            </w:pPr>
            <w:r w:rsidRPr="007C25B3">
              <w:rPr>
                <w:b/>
              </w:rPr>
              <w:t>2019-5 ‘Amendments to Australian Accounting Standards – Disclosure of the effect of new IFRS Standards not yet issued in Australia’</w:t>
            </w:r>
          </w:p>
        </w:tc>
      </w:tr>
      <w:tr w:rsidR="00E54324" w14:paraId="23257A2B" w14:textId="77777777" w:rsidTr="003A3D5A">
        <w:tc>
          <w:tcPr>
            <w:tcW w:w="4253" w:type="dxa"/>
          </w:tcPr>
          <w:p w14:paraId="4A589380" w14:textId="5C52281F" w:rsidR="00E54324" w:rsidRPr="00EF4905" w:rsidRDefault="00E54324" w:rsidP="00D52186">
            <w:pPr>
              <w:pStyle w:val="Tabletext"/>
              <w:rPr>
                <w:lang w:val="en-US"/>
              </w:rPr>
            </w:pPr>
            <w:r>
              <w:rPr>
                <w:lang w:val="en-US"/>
              </w:rPr>
              <w:t xml:space="preserve">This Standard amends AASB 1054 ‘Australian Additional Disclosures’ to add a disclosure requirement for an </w:t>
            </w:r>
            <w:r w:rsidR="00782E79">
              <w:rPr>
                <w:lang w:val="en-US"/>
              </w:rPr>
              <w:t>e</w:t>
            </w:r>
            <w:r>
              <w:rPr>
                <w:lang w:val="en-US"/>
              </w:rPr>
              <w:t>nt</w:t>
            </w:r>
            <w:r w:rsidR="00782E79">
              <w:rPr>
                <w:lang w:val="en-US"/>
              </w:rPr>
              <w:t>i</w:t>
            </w:r>
            <w:r>
              <w:rPr>
                <w:lang w:val="en-US"/>
              </w:rPr>
              <w:t>ty intending to comply with IFRS Standards to disclose the information specified in paragraphs 30 and 31 of AASB 108 ‘Accounting Policies, Changes in Accounting Estimates and Errors’ on the potential effect of an IFRS Standard that has not yet been issued by the AASB.</w:t>
            </w:r>
          </w:p>
        </w:tc>
        <w:tc>
          <w:tcPr>
            <w:tcW w:w="2410" w:type="dxa"/>
          </w:tcPr>
          <w:p w14:paraId="431F6EAA" w14:textId="7E6DBFC9" w:rsidR="00E54324" w:rsidRPr="001C4048" w:rsidRDefault="00E54324" w:rsidP="00D52186">
            <w:pPr>
              <w:pStyle w:val="Tabletext"/>
            </w:pPr>
            <w:r w:rsidRPr="001C4048">
              <w:t>Annual reporting periods on or after 1 January 2020, with early application permitted</w:t>
            </w:r>
          </w:p>
        </w:tc>
        <w:tc>
          <w:tcPr>
            <w:tcW w:w="2409" w:type="dxa"/>
          </w:tcPr>
          <w:p w14:paraId="27E54F71" w14:textId="4916158B" w:rsidR="00E54324" w:rsidRPr="00A74CEC" w:rsidRDefault="00E54324" w:rsidP="00D52186">
            <w:pPr>
              <w:pStyle w:val="Tabletext"/>
            </w:pPr>
            <w:r>
              <w:t>AASB 1054</w:t>
            </w:r>
          </w:p>
        </w:tc>
      </w:tr>
    </w:tbl>
    <w:p w14:paraId="39D11D6F" w14:textId="77777777" w:rsidR="00400B1C" w:rsidRPr="00AD7B44" w:rsidRDefault="00400B1C" w:rsidP="0061304D">
      <w:r w:rsidRPr="00AD7B44">
        <w:br w:type="page"/>
      </w:r>
    </w:p>
    <w:p w14:paraId="2662FBA6" w14:textId="77777777" w:rsidR="00400B1C" w:rsidRPr="00400B1C" w:rsidRDefault="00400B1C" w:rsidP="00400B1C">
      <w:pPr>
        <w:pStyle w:val="Heading2"/>
      </w:pPr>
      <w:bookmarkStart w:id="8" w:name="_Toc26256443"/>
      <w:r w:rsidRPr="009472DA">
        <w:t>Office of Loca</w:t>
      </w:r>
      <w:r w:rsidRPr="00400B1C">
        <w:t>l Government (OLG) publications</w:t>
      </w:r>
      <w:bookmarkEnd w:id="8"/>
    </w:p>
    <w:tbl>
      <w:tblPr>
        <w:tblW w:w="9075" w:type="dxa"/>
        <w:tblBorders>
          <w:bottom w:val="single" w:sz="4" w:space="0" w:color="auto"/>
        </w:tblBorders>
        <w:tblLayout w:type="fixed"/>
        <w:tblCellMar>
          <w:left w:w="57" w:type="dxa"/>
          <w:right w:w="57" w:type="dxa"/>
        </w:tblCellMar>
        <w:tblLook w:val="04A0" w:firstRow="1" w:lastRow="0" w:firstColumn="1" w:lastColumn="0" w:noHBand="0" w:noVBand="1"/>
      </w:tblPr>
      <w:tblGrid>
        <w:gridCol w:w="9075"/>
      </w:tblGrid>
      <w:tr w:rsidR="00400B1C" w14:paraId="0BCB14BD" w14:textId="77777777" w:rsidTr="003A3D5A">
        <w:trPr>
          <w:tblHeader/>
        </w:trPr>
        <w:tc>
          <w:tcPr>
            <w:tcW w:w="9075" w:type="dxa"/>
            <w:tcBorders>
              <w:bottom w:val="single" w:sz="18" w:space="0" w:color="D9AD5F"/>
            </w:tcBorders>
            <w:shd w:val="clear" w:color="auto" w:fill="EFEFF0"/>
            <w:hideMark/>
          </w:tcPr>
          <w:p w14:paraId="3E5CDE5B" w14:textId="56DA1F74" w:rsidR="00400B1C" w:rsidRPr="00400B1C" w:rsidRDefault="00400B1C" w:rsidP="00400B1C">
            <w:pPr>
              <w:pStyle w:val="Tableheading-leftaligned"/>
            </w:pPr>
            <w:r w:rsidRPr="009472DA">
              <w:t xml:space="preserve">Council circulars and guidelines </w:t>
            </w:r>
            <w:r w:rsidR="00840493">
              <w:t>–</w:t>
            </w:r>
            <w:r w:rsidRPr="00400B1C">
              <w:t xml:space="preserve"> refer to </w:t>
            </w:r>
            <w:hyperlink r:id="rId18" w:history="1">
              <w:r w:rsidRPr="00400B1C">
                <w:rPr>
                  <w:rStyle w:val="Hyperlink"/>
                </w:rPr>
                <w:t>OLG</w:t>
              </w:r>
            </w:hyperlink>
            <w:r w:rsidRPr="00400B1C">
              <w:rPr>
                <w:rFonts w:eastAsiaTheme="minorEastAsia"/>
              </w:rPr>
              <w:t xml:space="preserve"> website</w:t>
            </w:r>
          </w:p>
        </w:tc>
      </w:tr>
      <w:tr w:rsidR="00CE21CE" w:rsidDel="000B4A7A" w14:paraId="2EB49420" w14:textId="77777777" w:rsidTr="003A3D5A">
        <w:trPr>
          <w:trHeight w:val="251"/>
        </w:trPr>
        <w:tc>
          <w:tcPr>
            <w:tcW w:w="9075" w:type="dxa"/>
            <w:tcBorders>
              <w:top w:val="single" w:sz="18" w:space="0" w:color="D9AD5F"/>
            </w:tcBorders>
          </w:tcPr>
          <w:p w14:paraId="08E75BAC" w14:textId="204B8102" w:rsidR="00CE21CE" w:rsidRDefault="005A422E" w:rsidP="00400B1C">
            <w:pPr>
              <w:pStyle w:val="Tabletext"/>
            </w:pPr>
            <w:r>
              <w:t>19-28 ‘Annual Report and Annual Performance Statement Checklists</w:t>
            </w:r>
            <w:r w:rsidR="00840493">
              <w:t>’</w:t>
            </w:r>
          </w:p>
        </w:tc>
      </w:tr>
      <w:tr w:rsidR="00C51E06" w:rsidDel="000B4A7A" w14:paraId="773755BA" w14:textId="77777777" w:rsidTr="003A3D5A">
        <w:trPr>
          <w:trHeight w:val="251"/>
        </w:trPr>
        <w:tc>
          <w:tcPr>
            <w:tcW w:w="9075" w:type="dxa"/>
          </w:tcPr>
          <w:p w14:paraId="60A363C5" w14:textId="77777777" w:rsidR="00C51E06" w:rsidRDefault="00C51E06" w:rsidP="00400B1C">
            <w:pPr>
              <w:pStyle w:val="Tabletext"/>
            </w:pPr>
            <w:r>
              <w:t>19-27 ‘Extension of the rates path protection for new councils’</w:t>
            </w:r>
          </w:p>
        </w:tc>
      </w:tr>
      <w:tr w:rsidR="002B34B5" w:rsidDel="000B4A7A" w14:paraId="6A307396" w14:textId="77777777" w:rsidTr="003A3D5A">
        <w:trPr>
          <w:trHeight w:val="251"/>
        </w:trPr>
        <w:tc>
          <w:tcPr>
            <w:tcW w:w="9075" w:type="dxa"/>
          </w:tcPr>
          <w:p w14:paraId="20E0C69F" w14:textId="77777777" w:rsidR="002B34B5" w:rsidRDefault="002B34B5" w:rsidP="002B34B5">
            <w:pPr>
              <w:pStyle w:val="Tabletext"/>
            </w:pPr>
            <w:r w:rsidRPr="009472DA">
              <w:t>Guidelines for the preparation of an application to increase minimum rates above the statutory limit</w:t>
            </w:r>
            <w:r>
              <w:t xml:space="preserve"> for 2020-21</w:t>
            </w:r>
          </w:p>
        </w:tc>
      </w:tr>
      <w:tr w:rsidR="002B34B5" w:rsidDel="000B4A7A" w14:paraId="2BE4892D" w14:textId="77777777" w:rsidTr="003A3D5A">
        <w:trPr>
          <w:trHeight w:val="251"/>
        </w:trPr>
        <w:tc>
          <w:tcPr>
            <w:tcW w:w="9075" w:type="dxa"/>
          </w:tcPr>
          <w:p w14:paraId="5FCF39AD" w14:textId="77777777" w:rsidR="002B34B5" w:rsidRDefault="002B34B5" w:rsidP="002B34B5">
            <w:pPr>
              <w:pStyle w:val="Tabletext"/>
            </w:pPr>
            <w:r w:rsidRPr="009472DA">
              <w:t>Guidelines for the preparation of an application for a special variation to general income</w:t>
            </w:r>
            <w:r>
              <w:t xml:space="preserve"> for 2020-21</w:t>
            </w:r>
          </w:p>
        </w:tc>
      </w:tr>
      <w:tr w:rsidR="002B34B5" w:rsidDel="000B4A7A" w14:paraId="3D5D0E62" w14:textId="77777777" w:rsidTr="003A3D5A">
        <w:trPr>
          <w:trHeight w:val="251"/>
        </w:trPr>
        <w:tc>
          <w:tcPr>
            <w:tcW w:w="9075" w:type="dxa"/>
          </w:tcPr>
          <w:p w14:paraId="796F4954" w14:textId="77777777" w:rsidR="002B34B5" w:rsidRDefault="002B34B5" w:rsidP="002B34B5">
            <w:pPr>
              <w:pStyle w:val="Tabletext"/>
            </w:pPr>
            <w:r>
              <w:t>19-22 ‘</w:t>
            </w:r>
            <w:r w:rsidRPr="00CE21CE">
              <w:t>Government response to IPART’s review of local government election costs</w:t>
            </w:r>
            <w:r>
              <w:t>’</w:t>
            </w:r>
          </w:p>
        </w:tc>
      </w:tr>
      <w:tr w:rsidR="002B34B5" w:rsidDel="000B4A7A" w14:paraId="5ABB67AD" w14:textId="77777777" w:rsidTr="003A3D5A">
        <w:trPr>
          <w:trHeight w:val="251"/>
        </w:trPr>
        <w:tc>
          <w:tcPr>
            <w:tcW w:w="9075" w:type="dxa"/>
          </w:tcPr>
          <w:p w14:paraId="35FD8A9D" w14:textId="77777777" w:rsidR="002B34B5" w:rsidRPr="00400B1C" w:rsidRDefault="002B34B5" w:rsidP="002B34B5">
            <w:pPr>
              <w:pStyle w:val="Tabletext"/>
            </w:pPr>
            <w:r>
              <w:t>19-18 ‘</w:t>
            </w:r>
            <w:r w:rsidRPr="00F747A9">
              <w:rPr>
                <w:rFonts w:cs="Arial"/>
                <w:bCs/>
                <w:szCs w:val="20"/>
              </w:rPr>
              <w:t>Calendar of Compliance and Reporting Requirements</w:t>
            </w:r>
            <w:r>
              <w:rPr>
                <w:rFonts w:cs="Arial"/>
                <w:bCs/>
                <w:szCs w:val="20"/>
              </w:rPr>
              <w:t xml:space="preserve"> 2019-20’</w:t>
            </w:r>
          </w:p>
        </w:tc>
      </w:tr>
      <w:tr w:rsidR="00FC5C82" w:rsidDel="000B4A7A" w14:paraId="7CC0E351" w14:textId="77777777" w:rsidTr="003A3D5A">
        <w:trPr>
          <w:trHeight w:val="251"/>
        </w:trPr>
        <w:tc>
          <w:tcPr>
            <w:tcW w:w="9075" w:type="dxa"/>
          </w:tcPr>
          <w:p w14:paraId="333B15D2" w14:textId="45BFBA69" w:rsidR="00FC5C82" w:rsidRPr="00400B1C" w:rsidRDefault="00FC5C82" w:rsidP="002B34B5">
            <w:pPr>
              <w:pStyle w:val="Tabletext"/>
            </w:pPr>
            <w:r>
              <w:t>19-15 ‘End of Year Financial Reporting 2018-19’</w:t>
            </w:r>
          </w:p>
        </w:tc>
      </w:tr>
      <w:tr w:rsidR="002B34B5" w:rsidDel="000B4A7A" w14:paraId="0B00E4A2" w14:textId="77777777" w:rsidTr="003A3D5A">
        <w:trPr>
          <w:trHeight w:val="251"/>
        </w:trPr>
        <w:tc>
          <w:tcPr>
            <w:tcW w:w="9075" w:type="dxa"/>
          </w:tcPr>
          <w:p w14:paraId="4B80105F" w14:textId="77777777" w:rsidR="002B34B5" w:rsidRPr="00400B1C" w:rsidRDefault="002B34B5" w:rsidP="002B34B5">
            <w:pPr>
              <w:pStyle w:val="Tabletext"/>
            </w:pPr>
            <w:r w:rsidRPr="00400B1C">
              <w:t xml:space="preserve">19-14 ‘Recent amendments to the </w:t>
            </w:r>
            <w:r w:rsidRPr="00A66D5A">
              <w:rPr>
                <w:rStyle w:val="Italic"/>
              </w:rPr>
              <w:t>Local Government Act 1993’</w:t>
            </w:r>
          </w:p>
        </w:tc>
      </w:tr>
      <w:tr w:rsidR="002B34B5" w:rsidDel="000B4A7A" w14:paraId="5A6C580D" w14:textId="77777777" w:rsidTr="003A3D5A">
        <w:trPr>
          <w:trHeight w:val="251"/>
        </w:trPr>
        <w:tc>
          <w:tcPr>
            <w:tcW w:w="9075" w:type="dxa"/>
          </w:tcPr>
          <w:p w14:paraId="3C4FBF58" w14:textId="77777777" w:rsidR="002B34B5" w:rsidRPr="00400B1C" w:rsidRDefault="002B34B5" w:rsidP="002B34B5">
            <w:pPr>
              <w:pStyle w:val="Tabletext"/>
            </w:pPr>
            <w:r w:rsidRPr="00400B1C">
              <w:t>19-11 ‘Release of IPART Reports into rating and compliance matters for consultation’</w:t>
            </w:r>
          </w:p>
        </w:tc>
      </w:tr>
      <w:tr w:rsidR="002B34B5" w:rsidDel="000B4A7A" w14:paraId="488B3AB0" w14:textId="77777777" w:rsidTr="003A3D5A">
        <w:trPr>
          <w:trHeight w:val="251"/>
        </w:trPr>
        <w:tc>
          <w:tcPr>
            <w:tcW w:w="9075" w:type="dxa"/>
          </w:tcPr>
          <w:p w14:paraId="097AD6B3" w14:textId="77777777" w:rsidR="002B34B5" w:rsidRPr="00400B1C" w:rsidRDefault="002B34B5" w:rsidP="002B34B5">
            <w:pPr>
              <w:pStyle w:val="Tabletext"/>
            </w:pPr>
            <w:r w:rsidRPr="00400B1C">
              <w:t>Circular GC 148 ‘2019-20 Financial Assistance Grants (FAGs) – advance payment and on-going transition to implement improvements to the existing allocation model’</w:t>
            </w:r>
          </w:p>
        </w:tc>
      </w:tr>
      <w:tr w:rsidR="002B34B5" w:rsidDel="000B4A7A" w14:paraId="4FF7637B" w14:textId="77777777" w:rsidTr="003A3D5A">
        <w:trPr>
          <w:trHeight w:val="251"/>
        </w:trPr>
        <w:tc>
          <w:tcPr>
            <w:tcW w:w="9075" w:type="dxa"/>
          </w:tcPr>
          <w:p w14:paraId="20574B7B" w14:textId="77777777" w:rsidR="002B34B5" w:rsidRPr="00400B1C" w:rsidDel="00FC4023" w:rsidRDefault="002B34B5" w:rsidP="002B34B5">
            <w:pPr>
              <w:pStyle w:val="Tabletext"/>
            </w:pPr>
            <w:r w:rsidRPr="00400B1C">
              <w:t>19-07 ‘2019/20 Determination of the Local Government Remuneration Tribunal’</w:t>
            </w:r>
          </w:p>
        </w:tc>
      </w:tr>
      <w:tr w:rsidR="002B34B5" w:rsidDel="000B4A7A" w14:paraId="66E8EDAC" w14:textId="77777777" w:rsidTr="003A3D5A">
        <w:trPr>
          <w:trHeight w:val="251"/>
        </w:trPr>
        <w:tc>
          <w:tcPr>
            <w:tcW w:w="9075" w:type="dxa"/>
          </w:tcPr>
          <w:p w14:paraId="60B04F8E" w14:textId="77777777" w:rsidR="002B34B5" w:rsidRPr="00400B1C" w:rsidRDefault="002B34B5" w:rsidP="002B34B5">
            <w:pPr>
              <w:pStyle w:val="Tabletext"/>
            </w:pPr>
            <w:r w:rsidRPr="00400B1C">
              <w:t>19-06 ‘Changes to emergency services funding arrangements’</w:t>
            </w:r>
          </w:p>
        </w:tc>
      </w:tr>
      <w:tr w:rsidR="002B34B5" w:rsidDel="000B4A7A" w14:paraId="507C349C" w14:textId="77777777" w:rsidTr="003A3D5A">
        <w:trPr>
          <w:trHeight w:val="251"/>
        </w:trPr>
        <w:tc>
          <w:tcPr>
            <w:tcW w:w="9075" w:type="dxa"/>
          </w:tcPr>
          <w:p w14:paraId="10F2DFB1" w14:textId="77777777" w:rsidR="002B34B5" w:rsidRPr="00400B1C" w:rsidDel="000B4A7A" w:rsidRDefault="002B34B5" w:rsidP="002B34B5">
            <w:pPr>
              <w:pStyle w:val="Tabletext"/>
            </w:pPr>
            <w:r w:rsidRPr="00400B1C">
              <w:t>19-05 ‘Information about Rating 2019-20’</w:t>
            </w:r>
          </w:p>
        </w:tc>
      </w:tr>
      <w:tr w:rsidR="002B34B5" w14:paraId="38E99696" w14:textId="77777777" w:rsidTr="003A3D5A">
        <w:trPr>
          <w:trHeight w:val="251"/>
        </w:trPr>
        <w:tc>
          <w:tcPr>
            <w:tcW w:w="9075" w:type="dxa"/>
          </w:tcPr>
          <w:p w14:paraId="1FB9E096" w14:textId="77777777" w:rsidR="002B34B5" w:rsidRPr="00400B1C" w:rsidRDefault="002B34B5" w:rsidP="002B34B5">
            <w:pPr>
              <w:pStyle w:val="Tabletext"/>
            </w:pPr>
            <w:r>
              <w:t>19-01 ‘NSW Parking Fine – Grace Period Provisions’</w:t>
            </w:r>
          </w:p>
        </w:tc>
      </w:tr>
    </w:tbl>
    <w:p w14:paraId="4F937FEA" w14:textId="77777777" w:rsidR="00400B1C" w:rsidRPr="009472DA" w:rsidRDefault="00400B1C" w:rsidP="0061304D">
      <w:pPr>
        <w:pStyle w:val="SingleLineText-Half"/>
      </w:pPr>
    </w:p>
    <w:p w14:paraId="773D5E22" w14:textId="77777777" w:rsidR="00D16C9A" w:rsidRPr="009472DA" w:rsidRDefault="00D16C9A" w:rsidP="00400B1C"/>
    <w:p w14:paraId="08513E8F" w14:textId="77777777" w:rsidR="00400B1C" w:rsidRPr="009472DA" w:rsidRDefault="00400B1C" w:rsidP="00400B1C">
      <w:pPr>
        <w:sectPr w:rsidR="00400B1C" w:rsidRPr="009472DA" w:rsidSect="00A91642">
          <w:headerReference w:type="default" r:id="rId19"/>
          <w:footerReference w:type="default" r:id="rId20"/>
          <w:pgSz w:w="11906" w:h="16838"/>
          <w:pgMar w:top="1418" w:right="1418" w:bottom="1134" w:left="1418" w:header="709" w:footer="709" w:gutter="0"/>
          <w:pgNumType w:start="1"/>
          <w:cols w:space="720"/>
        </w:sectPr>
      </w:pPr>
    </w:p>
    <w:p w14:paraId="2FD9ADB8" w14:textId="77777777" w:rsidR="00400B1C" w:rsidRPr="009472DA" w:rsidRDefault="003B09A1" w:rsidP="00400B1C">
      <w:r>
        <w:rPr>
          <w:noProof/>
        </w:rPr>
        <w:drawing>
          <wp:anchor distT="0" distB="0" distL="114300" distR="114300" simplePos="0" relativeHeight="251661312" behindDoc="0" locked="0" layoutInCell="1" allowOverlap="1" wp14:anchorId="001BF9C4" wp14:editId="4C4984AE">
            <wp:simplePos x="0" y="0"/>
            <wp:positionH relativeFrom="page">
              <wp:align>right</wp:align>
            </wp:positionH>
            <wp:positionV relativeFrom="paragraph">
              <wp:posOffset>-903798</wp:posOffset>
            </wp:positionV>
            <wp:extent cx="7545380" cy="10670848"/>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ages from Cover artwork6.pdf.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5380" cy="10670848"/>
                    </a:xfrm>
                    <a:prstGeom prst="rect">
                      <a:avLst/>
                    </a:prstGeom>
                  </pic:spPr>
                </pic:pic>
              </a:graphicData>
            </a:graphic>
            <wp14:sizeRelH relativeFrom="margin">
              <wp14:pctWidth>0</wp14:pctWidth>
            </wp14:sizeRelH>
            <wp14:sizeRelV relativeFrom="margin">
              <wp14:pctHeight>0</wp14:pctHeight>
            </wp14:sizeRelV>
          </wp:anchor>
        </w:drawing>
      </w:r>
      <w:bookmarkStart w:id="9" w:name="_Toc456036857"/>
      <w:bookmarkEnd w:id="9"/>
    </w:p>
    <w:p w14:paraId="4CEA4768" w14:textId="77777777" w:rsidR="00400B1C" w:rsidRPr="009472DA" w:rsidRDefault="00400B1C" w:rsidP="00400B1C"/>
    <w:p w14:paraId="52C23945" w14:textId="77777777" w:rsidR="001E160A" w:rsidRPr="00400B1C" w:rsidRDefault="001E160A" w:rsidP="00400B1C"/>
    <w:sectPr w:rsidR="001E160A" w:rsidRPr="00400B1C" w:rsidSect="00EB3846">
      <w:headerReference w:type="default" r:id="rId22"/>
      <w:footerReference w:type="default" r:id="rId23"/>
      <w:pgSz w:w="11906" w:h="16838"/>
      <w:pgMar w:top="1418" w:right="1418" w:bottom="1134" w:left="1418"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4E09" w14:textId="77777777" w:rsidR="001F5E2E" w:rsidRDefault="001F5E2E" w:rsidP="00211AED">
      <w:r>
        <w:separator/>
      </w:r>
    </w:p>
  </w:endnote>
  <w:endnote w:type="continuationSeparator" w:id="0">
    <w:p w14:paraId="0E484846" w14:textId="77777777" w:rsidR="001F5E2E" w:rsidRDefault="001F5E2E" w:rsidP="002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865A" w14:textId="61B8384A" w:rsidR="003472C3" w:rsidRPr="00F979F3" w:rsidRDefault="003A3D5A" w:rsidP="003472C3">
    <w:pPr>
      <w:pStyle w:val="Tabletext"/>
      <w:rPr>
        <w:i/>
      </w:rPr>
    </w:pPr>
    <w:r>
      <w:rPr>
        <w:rFonts w:eastAsiaTheme="minorEastAsia" w:cs="Arial"/>
        <w:i/>
        <w:lang w:eastAsia="zh-CN"/>
      </w:rPr>
      <w:t>03</w:t>
    </w:r>
    <w:r w:rsidR="003472C3">
      <w:rPr>
        <w:rFonts w:eastAsiaTheme="minorEastAsia" w:cs="Arial"/>
        <w:i/>
        <w:lang w:eastAsia="zh-CN"/>
      </w:rPr>
      <w:t>/</w:t>
    </w:r>
    <w:r>
      <w:rPr>
        <w:rFonts w:eastAsiaTheme="minorEastAsia" w:cs="Arial"/>
        <w:i/>
        <w:lang w:eastAsia="zh-CN"/>
      </w:rPr>
      <w:t>12</w:t>
    </w:r>
    <w:r w:rsidR="003472C3" w:rsidRPr="00F979F3">
      <w:rPr>
        <w:i/>
      </w:rPr>
      <w:t>/</w:t>
    </w:r>
    <w:r w:rsidR="003472C3">
      <w:rPr>
        <w:i/>
      </w:rPr>
      <w:t>19</w:t>
    </w:r>
    <w:r w:rsidR="003472C3" w:rsidRPr="00F979F3">
      <w:rPr>
        <w:i/>
      </w:rPr>
      <w:tab/>
    </w:r>
    <w:r w:rsidR="003472C3" w:rsidRPr="00F979F3">
      <w:rPr>
        <w:i/>
      </w:rPr>
      <w:tab/>
    </w:r>
    <w:r w:rsidR="003472C3">
      <w:rPr>
        <w:i/>
      </w:rPr>
      <w:tab/>
    </w:r>
    <w:r w:rsidR="003472C3">
      <w:rPr>
        <w:i/>
      </w:rPr>
      <w:tab/>
    </w:r>
    <w:r w:rsidR="003472C3">
      <w:rPr>
        <w:i/>
      </w:rPr>
      <w:tab/>
    </w:r>
    <w:r w:rsidR="003472C3">
      <w:rPr>
        <w:i/>
      </w:rPr>
      <w:tab/>
    </w:r>
    <w:r w:rsidR="003472C3">
      <w:rPr>
        <w:i/>
      </w:rPr>
      <w:tab/>
    </w:r>
    <w:r w:rsidR="003472C3">
      <w:rPr>
        <w:i/>
      </w:rPr>
      <w:tab/>
    </w:r>
    <w:r w:rsidR="003472C3">
      <w:rPr>
        <w:i/>
      </w:rPr>
      <w:tab/>
    </w:r>
    <w:r w:rsidR="003472C3" w:rsidRPr="00F77C34">
      <w:rPr>
        <w:i/>
      </w:rPr>
      <w:t>D191</w:t>
    </w:r>
    <w:r w:rsidR="00A357EB">
      <w:rPr>
        <w:i/>
      </w:rPr>
      <w:t>9285</w:t>
    </w:r>
    <w:r w:rsidR="003472C3" w:rsidRPr="00F979F3">
      <w:rPr>
        <w:i/>
      </w:rPr>
      <w:t xml:space="preserve"> Version 1.</w:t>
    </w:r>
    <w:r w:rsidR="00A357EB">
      <w:rPr>
        <w:i/>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4853" w14:textId="77777777" w:rsidR="003472C3" w:rsidRDefault="003472C3">
    <w:r w:rsidRPr="00BA2D5B">
      <w:rPr>
        <w:noProof/>
      </w:rPr>
      <w:drawing>
        <wp:anchor distT="0" distB="0" distL="114300" distR="114300" simplePos="0" relativeHeight="251664384" behindDoc="0" locked="0" layoutInCell="1" allowOverlap="1" wp14:anchorId="3B22CE11" wp14:editId="41482F0D">
          <wp:simplePos x="0" y="0"/>
          <wp:positionH relativeFrom="page">
            <wp:align>left</wp:align>
          </wp:positionH>
          <wp:positionV relativeFrom="paragraph">
            <wp:posOffset>-2671142</wp:posOffset>
          </wp:positionV>
          <wp:extent cx="7561015" cy="3049079"/>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ncial audit_CD footer_right align_July 2019.jpg"/>
                  <pic:cNvPicPr/>
                </pic:nvPicPr>
                <pic:blipFill>
                  <a:blip r:embed="rId1">
                    <a:extLst>
                      <a:ext uri="{28A0092B-C50C-407E-A947-70E740481C1C}">
                        <a14:useLocalDpi xmlns:a14="http://schemas.microsoft.com/office/drawing/2010/main" val="0"/>
                      </a:ext>
                    </a:extLst>
                  </a:blip>
                  <a:stretch>
                    <a:fillRect/>
                  </a:stretch>
                </pic:blipFill>
                <pic:spPr>
                  <a:xfrm>
                    <a:off x="0" y="0"/>
                    <a:ext cx="7561015" cy="304907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34DC" w14:textId="77777777" w:rsidR="003472C3" w:rsidRPr="00D00158" w:rsidRDefault="003472C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742255"/>
      <w:docPartObj>
        <w:docPartGallery w:val="Page Numbers (Bottom of Page)"/>
        <w:docPartUnique/>
      </w:docPartObj>
    </w:sdtPr>
    <w:sdtEndPr>
      <w:rPr>
        <w:i/>
        <w:noProof/>
        <w:sz w:val="18"/>
      </w:rPr>
    </w:sdtEndPr>
    <w:sdtContent>
      <w:p w14:paraId="5E5BE87C" w14:textId="77777777" w:rsidR="003472C3" w:rsidRPr="00F979F3" w:rsidRDefault="003472C3">
        <w:pPr>
          <w:jc w:val="right"/>
          <w:rPr>
            <w:i/>
            <w:sz w:val="18"/>
          </w:rPr>
        </w:pPr>
        <w:r w:rsidRPr="00F979F3">
          <w:rPr>
            <w:i/>
            <w:sz w:val="18"/>
          </w:rPr>
          <w:fldChar w:fldCharType="begin"/>
        </w:r>
        <w:r w:rsidRPr="00F979F3">
          <w:rPr>
            <w:i/>
            <w:sz w:val="18"/>
          </w:rPr>
          <w:instrText xml:space="preserve"> PAGE   \* MERGEFORMAT </w:instrText>
        </w:r>
        <w:r w:rsidRPr="00F979F3">
          <w:rPr>
            <w:i/>
            <w:sz w:val="18"/>
          </w:rPr>
          <w:fldChar w:fldCharType="separate"/>
        </w:r>
        <w:r>
          <w:rPr>
            <w:i/>
            <w:noProof/>
            <w:sz w:val="18"/>
          </w:rPr>
          <w:t>10</w:t>
        </w:r>
        <w:r w:rsidRPr="00F979F3">
          <w:rPr>
            <w:i/>
            <w:noProof/>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D759" w14:textId="77777777" w:rsidR="003472C3" w:rsidRPr="00301D9A" w:rsidRDefault="003472C3" w:rsidP="00D731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06EA" w14:textId="77777777" w:rsidR="001F5E2E" w:rsidRDefault="001F5E2E" w:rsidP="00211AED">
      <w:r>
        <w:separator/>
      </w:r>
    </w:p>
  </w:footnote>
  <w:footnote w:type="continuationSeparator" w:id="0">
    <w:p w14:paraId="6DAB86CC" w14:textId="77777777" w:rsidR="001F5E2E" w:rsidRDefault="001F5E2E" w:rsidP="00211AED">
      <w:r>
        <w:continuationSeparator/>
      </w:r>
    </w:p>
  </w:footnote>
  <w:footnote w:id="1">
    <w:p w14:paraId="3AEB3E0B" w14:textId="24B1277F" w:rsidR="00686D73" w:rsidRDefault="00686D73">
      <w:pPr>
        <w:pStyle w:val="FootnoteText"/>
      </w:pPr>
      <w:r>
        <w:rPr>
          <w:rStyle w:val="FootnoteReference"/>
        </w:rPr>
        <w:footnoteRef/>
      </w:r>
      <w:r>
        <w:t xml:space="preserve"> </w:t>
      </w:r>
      <w:r w:rsidRPr="00A66D5A">
        <w:t xml:space="preserve">The functions of the Office of Local Government are </w:t>
      </w:r>
      <w:r w:rsidR="00BD65A4" w:rsidRPr="00A66D5A">
        <w:t xml:space="preserve">within the </w:t>
      </w:r>
      <w:r w:rsidRPr="00A66D5A">
        <w:t>Department of Planning</w:t>
      </w:r>
      <w:r w:rsidR="00BD65A4" w:rsidRPr="00A66D5A">
        <w:t xml:space="preserve">, </w:t>
      </w:r>
      <w:r w:rsidRPr="00A66D5A">
        <w:t xml:space="preserve">Industry </w:t>
      </w:r>
      <w:r w:rsidR="00BD65A4" w:rsidRPr="00A66D5A">
        <w:t>and Environment.</w:t>
      </w:r>
    </w:p>
  </w:footnote>
  <w:footnote w:id="2">
    <w:p w14:paraId="6DB809A7" w14:textId="4884CC69" w:rsidR="003472C3" w:rsidRDefault="003472C3" w:rsidP="00400B1C">
      <w:pPr>
        <w:pStyle w:val="FootnoteText"/>
      </w:pPr>
      <w:r>
        <w:rPr>
          <w:rStyle w:val="FootnoteReference"/>
        </w:rPr>
        <w:footnoteRef/>
      </w:r>
      <w:r>
        <w:t xml:space="preserve"> OLG has provided guidance on the threshold for low value assets to be in the region of </w:t>
      </w:r>
      <w:r w:rsidR="00A356B6">
        <w:t xml:space="preserve">AUD </w:t>
      </w:r>
      <w:r>
        <w:t xml:space="preserve">7,000 </w:t>
      </w:r>
      <w:r w:rsidR="00A356B6">
        <w:t>–</w:t>
      </w:r>
      <w:r>
        <w:t xml:space="preserve"> </w:t>
      </w:r>
      <w:r w:rsidR="00A356B6">
        <w:t xml:space="preserve">AUD </w:t>
      </w:r>
      <w:r>
        <w:t xml:space="preserve">10,000 but no higher than </w:t>
      </w:r>
      <w:r w:rsidR="00A356B6">
        <w:t xml:space="preserve">AUD </w:t>
      </w:r>
      <w:r>
        <w:t>10,000.</w:t>
      </w:r>
    </w:p>
  </w:footnote>
  <w:footnote w:id="3">
    <w:p w14:paraId="48574DD1" w14:textId="77777777" w:rsidR="003472C3" w:rsidRDefault="003472C3" w:rsidP="00400B1C">
      <w:pPr>
        <w:pStyle w:val="FootnoteText"/>
      </w:pPr>
      <w:r>
        <w:rPr>
          <w:rStyle w:val="FootnoteReference"/>
        </w:rPr>
        <w:footnoteRef/>
      </w:r>
      <w:r>
        <w:t xml:space="preserve"> </w:t>
      </w:r>
      <w:bookmarkStart w:id="3" w:name="_Hlk529254617"/>
      <w:r>
        <w:t xml:space="preserve">AASB 2018-5 </w:t>
      </w:r>
      <w:r w:rsidRPr="00041AED">
        <w:t xml:space="preserve">‘Amendments to Australian Accounting Standards – </w:t>
      </w:r>
      <w:r>
        <w:t>Deferral of AASB 1059</w:t>
      </w:r>
      <w:r w:rsidRPr="00041AED">
        <w:t>’</w:t>
      </w:r>
      <w:r>
        <w:t xml:space="preserve"> amends AASB 1059 </w:t>
      </w:r>
      <w:r w:rsidRPr="00451FB2">
        <w:rPr>
          <w:rFonts w:cs="Times New Roman"/>
          <w:szCs w:val="22"/>
        </w:rPr>
        <w:t xml:space="preserve">to defer its effective date from annual reporting periods beginning on or after </w:t>
      </w:r>
      <w:r w:rsidR="00597DF0" w:rsidRPr="00451FB2">
        <w:rPr>
          <w:rFonts w:cs="Times New Roman"/>
          <w:szCs w:val="22"/>
        </w:rPr>
        <w:t>1</w:t>
      </w:r>
      <w:r w:rsidR="00597DF0">
        <w:rPr>
          <w:rFonts w:cs="Times New Roman"/>
          <w:szCs w:val="22"/>
        </w:rPr>
        <w:t> </w:t>
      </w:r>
      <w:r w:rsidR="00597DF0" w:rsidRPr="00451FB2">
        <w:rPr>
          <w:rFonts w:cs="Times New Roman"/>
          <w:szCs w:val="22"/>
        </w:rPr>
        <w:t>January</w:t>
      </w:r>
      <w:r w:rsidR="00597DF0">
        <w:rPr>
          <w:rFonts w:cs="Times New Roman"/>
          <w:szCs w:val="22"/>
        </w:rPr>
        <w:t> </w:t>
      </w:r>
      <w:r w:rsidRPr="00451FB2">
        <w:rPr>
          <w:rFonts w:cs="Times New Roman"/>
          <w:szCs w:val="22"/>
        </w:rPr>
        <w:t xml:space="preserve">2019 to </w:t>
      </w:r>
      <w:r w:rsidR="00597DF0" w:rsidRPr="00451FB2">
        <w:rPr>
          <w:rFonts w:cs="Times New Roman"/>
          <w:szCs w:val="22"/>
        </w:rPr>
        <w:t>1</w:t>
      </w:r>
      <w:r w:rsidR="00597DF0">
        <w:rPr>
          <w:rFonts w:cs="Times New Roman"/>
          <w:szCs w:val="22"/>
        </w:rPr>
        <w:t> </w:t>
      </w:r>
      <w:r w:rsidR="00597DF0" w:rsidRPr="00451FB2">
        <w:rPr>
          <w:rFonts w:cs="Times New Roman"/>
          <w:szCs w:val="22"/>
        </w:rPr>
        <w:t>January</w:t>
      </w:r>
      <w:r w:rsidR="00597DF0">
        <w:rPr>
          <w:rFonts w:cs="Times New Roman"/>
          <w:szCs w:val="22"/>
        </w:rPr>
        <w:t> </w:t>
      </w:r>
      <w:r w:rsidRPr="00451FB2">
        <w:rPr>
          <w:rFonts w:cs="Times New Roman"/>
          <w:szCs w:val="22"/>
        </w:rPr>
        <w:t>2020.</w:t>
      </w:r>
      <w:bookmarkEnd w:id="3"/>
    </w:p>
  </w:footnote>
  <w:footnote w:id="4">
    <w:p w14:paraId="58513865" w14:textId="77777777" w:rsidR="003472C3" w:rsidRDefault="003472C3" w:rsidP="00400B1C">
      <w:pPr>
        <w:pStyle w:val="FootnoteText"/>
      </w:pPr>
      <w:r w:rsidRPr="00F979F3">
        <w:rPr>
          <w:rStyle w:val="FootnoteReference"/>
          <w:b/>
        </w:rPr>
        <w:footnoteRef/>
      </w:r>
      <w:r w:rsidRPr="00F979F3">
        <w:rPr>
          <w:b/>
        </w:rPr>
        <w:t xml:space="preserve"> </w:t>
      </w:r>
      <w:r>
        <w:t>Note this table only includes new standards issued and excludes compiled standards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5620" w14:textId="1EFC9CC2" w:rsidR="003472C3" w:rsidRPr="00AD7B44" w:rsidRDefault="00BD65A4" w:rsidP="007012FB">
    <w:r w:rsidRPr="00807901">
      <w:rPr>
        <w:noProof/>
      </w:rPr>
      <w:drawing>
        <wp:inline distT="0" distB="0" distL="0" distR="0" wp14:anchorId="24C70673" wp14:editId="024F2F2A">
          <wp:extent cx="802151" cy="122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Audit Office NSW (Stacked) CMYK.JPG"/>
                  <pic:cNvPicPr/>
                </pic:nvPicPr>
                <pic:blipFill>
                  <a:blip r:embed="rId1">
                    <a:extLst>
                      <a:ext uri="{28A0092B-C50C-407E-A947-70E740481C1C}">
                        <a14:useLocalDpi xmlns:a14="http://schemas.microsoft.com/office/drawing/2010/main" val="0"/>
                      </a:ext>
                    </a:extLst>
                  </a:blip>
                  <a:stretch>
                    <a:fillRect/>
                  </a:stretch>
                </pic:blipFill>
                <pic:spPr>
                  <a:xfrm>
                    <a:off x="0" y="0"/>
                    <a:ext cx="802151" cy="1220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E26B" w14:textId="77777777" w:rsidR="003472C3" w:rsidRDefault="003472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1285" w14:textId="4420F032" w:rsidR="00BD65A4" w:rsidRPr="00526891" w:rsidRDefault="00BD65A4" w:rsidP="00BD65A4">
    <w:pPr>
      <w:rPr>
        <w:rFonts w:cs="Arial"/>
        <w:b/>
        <w:noProof/>
        <w:color w:val="808080" w:themeColor="background1" w:themeShade="80"/>
        <w:lang w:eastAsia="en-AU"/>
      </w:rPr>
    </w:pPr>
    <w:r>
      <w:rPr>
        <w:noProof/>
      </w:rPr>
      <w:drawing>
        <wp:anchor distT="0" distB="0" distL="114300" distR="114300" simplePos="0" relativeHeight="251666432" behindDoc="0" locked="0" layoutInCell="1" allowOverlap="1" wp14:anchorId="2C3E854B" wp14:editId="758C6BE7">
          <wp:simplePos x="0" y="0"/>
          <wp:positionH relativeFrom="column">
            <wp:posOffset>3959056</wp:posOffset>
          </wp:positionH>
          <wp:positionV relativeFrom="paragraph">
            <wp:posOffset>-72390</wp:posOffset>
          </wp:positionV>
          <wp:extent cx="1799590" cy="3200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udit Office NSW (Horizontal) 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799590" cy="320040"/>
                  </a:xfrm>
                  <a:prstGeom prst="rect">
                    <a:avLst/>
                  </a:prstGeom>
                </pic:spPr>
              </pic:pic>
            </a:graphicData>
          </a:graphic>
        </wp:anchor>
      </w:drawing>
    </w:r>
  </w:p>
  <w:p w14:paraId="0B853A1B" w14:textId="77777777" w:rsidR="00BD65A4" w:rsidRPr="00657864" w:rsidRDefault="00BD65A4" w:rsidP="00BD65A4">
    <w:pPr>
      <w:rPr>
        <w:rFonts w:cs="Arial"/>
        <w:color w:val="808080" w:themeColor="background1" w:themeShade="80"/>
        <w:sz w:val="14"/>
        <w:szCs w:val="14"/>
      </w:rPr>
    </w:pPr>
    <w:r w:rsidRPr="00657864">
      <w:rPr>
        <w:rFonts w:cs="Arial"/>
        <w:b/>
        <w:noProof/>
        <w:color w:val="808080" w:themeColor="background1" w:themeShade="80"/>
        <w:sz w:val="14"/>
        <w:szCs w:val="14"/>
        <w:lang w:eastAsia="en-AU"/>
      </w:rPr>
      <w:t>Our insights inform and challenge government to improve outcomes for citizens</w:t>
    </w:r>
  </w:p>
  <w:p w14:paraId="1112E3B8" w14:textId="77777777" w:rsidR="00BD65A4" w:rsidRDefault="00BD65A4" w:rsidP="00BD65A4">
    <w:r w:rsidRPr="00526891">
      <w:rPr>
        <w:noProof/>
        <w:lang w:eastAsia="en-AU"/>
      </w:rPr>
      <mc:AlternateContent>
        <mc:Choice Requires="wps">
          <w:drawing>
            <wp:anchor distT="0" distB="0" distL="114300" distR="114300" simplePos="0" relativeHeight="251667456" behindDoc="0" locked="0" layoutInCell="1" allowOverlap="1" wp14:anchorId="27147F12" wp14:editId="585B9CA5">
              <wp:simplePos x="0" y="0"/>
              <wp:positionH relativeFrom="column">
                <wp:posOffset>2095</wp:posOffset>
              </wp:positionH>
              <wp:positionV relativeFrom="paragraph">
                <wp:posOffset>90162</wp:posOffset>
              </wp:positionV>
              <wp:extent cx="5760000" cy="44866"/>
              <wp:effectExtent l="0" t="0" r="12700" b="12700"/>
              <wp:wrapNone/>
              <wp:docPr id="2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4866"/>
                      </a:xfrm>
                      <a:prstGeom prst="roundRect">
                        <a:avLst>
                          <a:gd name="adj" fmla="val 16667"/>
                        </a:avLst>
                      </a:prstGeom>
                      <a:solidFill>
                        <a:srgbClr val="D64B46"/>
                      </a:solidFill>
                      <a:ln w="9525">
                        <a:solidFill>
                          <a:srgbClr val="D64B46"/>
                        </a:solidFill>
                        <a:round/>
                        <a:headEnd/>
                        <a:tailEnd/>
                      </a:ln>
                    </wps:spPr>
                    <wps:bodyPr rot="0" vert="horz" wrap="square" lIns="91440" tIns="45720" rIns="91440" bIns="45720" anchor="t" anchorCtr="0" upright="1">
                      <a:noAutofit/>
                    </wps:bodyPr>
                  </wps:wsp>
                </a:graphicData>
              </a:graphic>
            </wp:anchor>
          </w:drawing>
        </mc:Choice>
        <mc:Fallback>
          <w:pict>
            <v:roundrect w14:anchorId="72CF05C3" id="Rounded Rectangle 12" o:spid="_x0000_s1026" style="position:absolute;margin-left:.15pt;margin-top:7.1pt;width:453.5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" fillcolor="#d64b46" strokecolor="#d64b46"/>
          </w:pict>
        </mc:Fallback>
      </mc:AlternateContent>
    </w:r>
  </w:p>
  <w:p w14:paraId="52C511D9" w14:textId="77777777" w:rsidR="003472C3" w:rsidRDefault="003472C3" w:rsidP="00BD65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5ACA" w14:textId="77777777" w:rsidR="003472C3" w:rsidRPr="000C256F" w:rsidRDefault="003472C3" w:rsidP="00D731C2">
    <w:pPr>
      <w:tabs>
        <w:tab w:val="center" w:pos="4536"/>
        <w:tab w:val="left" w:pos="5715"/>
      </w:tabs>
      <w:rPr>
        <w:sz w:val="2"/>
        <w:szCs w:val="2"/>
      </w:rPr>
    </w:pPr>
  </w:p>
  <w:p w14:paraId="4BB1CEAD" w14:textId="77777777" w:rsidR="003472C3" w:rsidRPr="00C96297" w:rsidRDefault="003472C3" w:rsidP="00D731C2">
    <w:pP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1B0"/>
    <w:multiLevelType w:val="multilevel"/>
    <w:tmpl w:val="1F705F02"/>
    <w:lvl w:ilvl="0">
      <w:start w:val="1"/>
      <w:numFmt w:val="decimal"/>
      <w:pStyle w:val="Heading1-NumberedRED"/>
      <w:lvlText w:val="%1."/>
      <w:lvlJc w:val="left"/>
      <w:pPr>
        <w:ind w:left="360" w:hanging="360"/>
      </w:pPr>
      <w:rPr>
        <w:rFonts w:hint="default"/>
        <w:b/>
        <w:bCs w:val="0"/>
        <w:i w:val="0"/>
        <w:iCs w:val="0"/>
        <w:caps w:val="0"/>
        <w:smallCaps w:val="0"/>
        <w:strike w:val="0"/>
        <w:dstrike w:val="0"/>
        <w:noProof w:val="0"/>
        <w:vanish w:val="0"/>
        <w:color w:val="D64B46"/>
        <w:spacing w:val="0"/>
        <w:kern w:val="0"/>
        <w:position w:val="0"/>
        <w:sz w:val="28"/>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lvlText w:val="%1.%2"/>
      <w:lvlJc w:val="left"/>
      <w:pPr>
        <w:tabs>
          <w:tab w:val="num" w:pos="1134"/>
        </w:tabs>
        <w:ind w:left="567" w:hanging="567"/>
      </w:pPr>
      <w:rPr>
        <w:rFonts w:hint="default"/>
      </w:rPr>
    </w:lvl>
    <w:lvl w:ilvl="2">
      <w:start w:val="1"/>
      <w:numFmt w:val="bullet"/>
      <w:lvlText w:val=""/>
      <w:lvlJc w:val="left"/>
      <w:pPr>
        <w:ind w:left="567" w:hanging="567"/>
      </w:pPr>
      <w:rPr>
        <w:rFonts w:ascii="Wingdings" w:hAnsi="Wingdings" w:hint="default"/>
        <w:color w:val="E2002B"/>
        <w:sz w:val="16"/>
      </w:rPr>
    </w:lvl>
    <w:lvl w:ilvl="3">
      <w:start w:val="1"/>
      <w:numFmt w:val="bullet"/>
      <w:pStyle w:val="Bullet2ndlevel"/>
      <w:lvlText w:val="-"/>
      <w:lvlJc w:val="left"/>
      <w:pPr>
        <w:ind w:left="1134" w:hanging="567"/>
      </w:pPr>
      <w:rPr>
        <w:rFonts w:ascii="Courier New" w:hAnsi="Courier New" w:hint="default"/>
      </w:rPr>
    </w:lvl>
    <w:lvl w:ilvl="4">
      <w:start w:val="1"/>
      <w:numFmt w:val="none"/>
      <w:lvlText w:val="%5"/>
      <w:lvlJc w:val="left"/>
      <w:pPr>
        <w:ind w:left="1134" w:hanging="567"/>
      </w:pPr>
      <w:rPr>
        <w:rFonts w:hint="default"/>
      </w:rPr>
    </w:lvl>
    <w:lvl w:ilvl="5">
      <w:start w:val="1"/>
      <w:numFmt w:val="none"/>
      <w:lvlText w:val="%6"/>
      <w:lvlJc w:val="left"/>
      <w:pPr>
        <w:ind w:left="1134" w:hanging="567"/>
      </w:pPr>
      <w:rPr>
        <w:rFonts w:hint="default"/>
      </w:rPr>
    </w:lvl>
    <w:lvl w:ilvl="6">
      <w:start w:val="1"/>
      <w:numFmt w:val="none"/>
      <w:lvlText w:val="%7"/>
      <w:lvlJc w:val="left"/>
      <w:pPr>
        <w:ind w:left="1134" w:hanging="567"/>
      </w:pPr>
      <w:rPr>
        <w:rFonts w:hint="default"/>
      </w:rPr>
    </w:lvl>
    <w:lvl w:ilvl="7">
      <w:start w:val="1"/>
      <w:numFmt w:val="none"/>
      <w:lvlText w:val="%8"/>
      <w:lvlJc w:val="left"/>
      <w:pPr>
        <w:ind w:left="1134" w:hanging="567"/>
      </w:pPr>
      <w:rPr>
        <w:rFonts w:hint="default"/>
      </w:rPr>
    </w:lvl>
    <w:lvl w:ilvl="8">
      <w:start w:val="1"/>
      <w:numFmt w:val="none"/>
      <w:lvlText w:val="%9"/>
      <w:lvlJc w:val="left"/>
      <w:pPr>
        <w:ind w:left="1134" w:hanging="567"/>
      </w:pPr>
      <w:rPr>
        <w:rFonts w:hint="default"/>
      </w:rPr>
    </w:lvl>
  </w:abstractNum>
  <w:abstractNum w:abstractNumId="1" w15:restartNumberingAfterBreak="0">
    <w:nsid w:val="03D236CC"/>
    <w:multiLevelType w:val="multilevel"/>
    <w:tmpl w:val="BE80AAEE"/>
    <w:styleLink w:val="Documentformatting"/>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2" w15:restartNumberingAfterBreak="0">
    <w:nsid w:val="06966872"/>
    <w:multiLevelType w:val="multilevel"/>
    <w:tmpl w:val="35127520"/>
    <w:styleLink w:val="CSRHeadingNumbered"/>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912521"/>
    <w:multiLevelType w:val="multilevel"/>
    <w:tmpl w:val="EEDC18D2"/>
    <w:lvl w:ilvl="0">
      <w:start w:val="1"/>
      <w:numFmt w:val="decimal"/>
      <w:pStyle w:val="Numbered"/>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none"/>
      <w:lvlText w:val="%4"/>
      <w:lvlJc w:val="left"/>
      <w:pPr>
        <w:tabs>
          <w:tab w:val="num" w:pos="18144"/>
        </w:tabs>
        <w:ind w:left="1701" w:hanging="567"/>
      </w:pPr>
      <w:rPr>
        <w:rFonts w:hint="default"/>
      </w:rPr>
    </w:lvl>
    <w:lvl w:ilvl="4">
      <w:start w:val="1"/>
      <w:numFmt w:val="none"/>
      <w:lvlText w:val="%5"/>
      <w:lvlJc w:val="left"/>
      <w:pPr>
        <w:ind w:left="1701" w:hanging="567"/>
      </w:pPr>
      <w:rPr>
        <w:rFonts w:hint="default"/>
      </w:rPr>
    </w:lvl>
    <w:lvl w:ilvl="5">
      <w:start w:val="1"/>
      <w:numFmt w:val="none"/>
      <w:lvlText w:val="%6"/>
      <w:lvlJc w:val="righ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C83EFC"/>
    <w:multiLevelType w:val="multilevel"/>
    <w:tmpl w:val="59F0D9F0"/>
    <w:lvl w:ilvl="0">
      <w:numFmt w:val="bullet"/>
      <w:pStyle w:val="Bullet1stlevel"/>
      <w:lvlText w:val="•"/>
      <w:lvlJc w:val="left"/>
      <w:pPr>
        <w:ind w:left="567" w:hanging="567"/>
      </w:pPr>
      <w:rPr>
        <w:rFonts w:ascii="Arial" w:hAnsi="Arial" w:hint="default"/>
        <w:sz w:val="18"/>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6" w15:restartNumberingAfterBreak="0">
    <w:nsid w:val="1DA733DB"/>
    <w:multiLevelType w:val="hybridMultilevel"/>
    <w:tmpl w:val="761C6A70"/>
    <w:lvl w:ilvl="0" w:tplc="AA6ECDB8">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704D"/>
    <w:multiLevelType w:val="multilevel"/>
    <w:tmpl w:val="BA8AC9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21237736"/>
    <w:multiLevelType w:val="multilevel"/>
    <w:tmpl w:val="4000D20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9" w15:restartNumberingAfterBreak="0">
    <w:nsid w:val="2D986B12"/>
    <w:multiLevelType w:val="multilevel"/>
    <w:tmpl w:val="5192D2C8"/>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134" w:hanging="567"/>
      </w:pPr>
      <w:rPr>
        <w:rFonts w:ascii="Courier New" w:hAnsi="Courier New" w:hint="default"/>
      </w:rPr>
    </w:lvl>
    <w:lvl w:ilvl="3">
      <w:start w:val="1"/>
      <w:numFmt w:val="bullet"/>
      <w:lvlText w:val="-"/>
      <w:lvlJc w:val="left"/>
      <w:pPr>
        <w:ind w:left="1134" w:hanging="567"/>
      </w:pPr>
      <w:rPr>
        <w:rFonts w:ascii="Courier New" w:hAnsi="Courier New" w:hint="default"/>
      </w:rPr>
    </w:lvl>
    <w:lvl w:ilvl="4">
      <w:start w:val="1"/>
      <w:numFmt w:val="bullet"/>
      <w:lvlText w:val="-"/>
      <w:lvlJc w:val="left"/>
      <w:pPr>
        <w:ind w:left="1134" w:hanging="567"/>
      </w:pPr>
      <w:rPr>
        <w:rFonts w:ascii="Courier New" w:hAnsi="Courier New" w:hint="default"/>
      </w:rPr>
    </w:lvl>
    <w:lvl w:ilvl="5">
      <w:start w:val="1"/>
      <w:numFmt w:val="bullet"/>
      <w:lvlText w:val="-"/>
      <w:lvlJc w:val="left"/>
      <w:pPr>
        <w:ind w:left="1134" w:hanging="567"/>
      </w:pPr>
      <w:rPr>
        <w:rFonts w:ascii="Courier New" w:hAnsi="Courier New" w:hint="default"/>
      </w:rPr>
    </w:lvl>
    <w:lvl w:ilvl="6">
      <w:start w:val="1"/>
      <w:numFmt w:val="bullet"/>
      <w:lvlText w:val="-"/>
      <w:lvlJc w:val="left"/>
      <w:pPr>
        <w:ind w:left="1134" w:hanging="567"/>
      </w:pPr>
      <w:rPr>
        <w:rFonts w:ascii="Courier New" w:hAnsi="Courier New" w:hint="default"/>
      </w:rPr>
    </w:lvl>
    <w:lvl w:ilvl="7">
      <w:start w:val="1"/>
      <w:numFmt w:val="bullet"/>
      <w:lvlText w:val="-"/>
      <w:lvlJc w:val="left"/>
      <w:pPr>
        <w:ind w:left="1134" w:hanging="567"/>
      </w:pPr>
      <w:rPr>
        <w:rFonts w:ascii="Courier New" w:hAnsi="Courier New" w:hint="default"/>
      </w:rPr>
    </w:lvl>
    <w:lvl w:ilvl="8">
      <w:start w:val="1"/>
      <w:numFmt w:val="bullet"/>
      <w:lvlText w:val="-"/>
      <w:lvlJc w:val="left"/>
      <w:pPr>
        <w:ind w:left="1134" w:hanging="567"/>
      </w:pPr>
      <w:rPr>
        <w:rFonts w:ascii="Courier New" w:hAnsi="Courier New" w:hint="default"/>
      </w:rPr>
    </w:lvl>
  </w:abstractNum>
  <w:abstractNum w:abstractNumId="10"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853D0E"/>
    <w:multiLevelType w:val="multilevel"/>
    <w:tmpl w:val="94B6B236"/>
    <w:lvl w:ilvl="0">
      <w:start w:val="1"/>
      <w:numFmt w:val="none"/>
      <w:pStyle w:val="TableNote-High"/>
      <w:lvlText w:val="%1H"/>
      <w:lvlJc w:val="left"/>
      <w:pPr>
        <w:ind w:left="340" w:hanging="340"/>
      </w:pPr>
      <w:rPr>
        <w:rFonts w:hint="default"/>
      </w:rPr>
    </w:lvl>
    <w:lvl w:ilvl="1">
      <w:start w:val="1"/>
      <w:numFmt w:val="none"/>
      <w:pStyle w:val="TableNote-Low"/>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0"/>
      <w:lvlText w:val="na"/>
      <w:lvlJc w:val="left"/>
      <w:pPr>
        <w:ind w:left="340" w:hanging="340"/>
      </w:pPr>
      <w:rPr>
        <w:rFonts w:hint="default"/>
      </w:rPr>
    </w:lvl>
    <w:lvl w:ilvl="4">
      <w:start w:val="1"/>
      <w:numFmt w:val="none"/>
      <w:pStyle w:val="TableNote"/>
      <w:lvlText w:val="*"/>
      <w:lvlJc w:val="left"/>
      <w:pPr>
        <w:ind w:left="340" w:hanging="340"/>
      </w:pPr>
      <w:rPr>
        <w:rFonts w:hint="default"/>
      </w:rPr>
    </w:lvl>
    <w:lvl w:ilvl="5">
      <w:start w:val="1"/>
      <w:numFmt w:val="none"/>
      <w:pStyle w:val="TableNote0"/>
      <w:lvlText w:val="**"/>
      <w:lvlJc w:val="left"/>
      <w:pPr>
        <w:ind w:left="340" w:hanging="340"/>
      </w:pPr>
      <w:rPr>
        <w:rFonts w:hint="default"/>
      </w:rPr>
    </w:lvl>
    <w:lvl w:ilvl="6">
      <w:start w:val="1"/>
      <w:numFmt w:val="none"/>
      <w:pStyle w:val="TableNote1"/>
      <w:lvlText w:val="***"/>
      <w:lvlJc w:val="left"/>
      <w:pPr>
        <w:ind w:left="340" w:hanging="340"/>
      </w:pPr>
      <w:rPr>
        <w:rFonts w:hint="default"/>
      </w:rPr>
    </w:lvl>
    <w:lvl w:ilvl="7">
      <w:start w:val="1"/>
      <w:numFmt w:val="none"/>
      <w:lvlRestart w:val="0"/>
      <w:pStyle w:val="TableNote-FTE"/>
      <w:lvlText w:val="FTE:"/>
      <w:lvlJc w:val="left"/>
      <w:pPr>
        <w:ind w:left="340" w:hanging="340"/>
      </w:pPr>
      <w:rPr>
        <w:rFonts w:hint="default"/>
      </w:rPr>
    </w:lvl>
    <w:lvl w:ilvl="8">
      <w:start w:val="1"/>
      <w:numFmt w:val="none"/>
      <w:lvlRestart w:val="0"/>
      <w:pStyle w:val="TableNote-Key"/>
      <w:lvlText w:val="Key:"/>
      <w:lvlJc w:val="left"/>
      <w:pPr>
        <w:tabs>
          <w:tab w:val="num" w:pos="5103"/>
        </w:tabs>
        <w:ind w:left="340" w:hanging="340"/>
      </w:pPr>
      <w:rPr>
        <w:rFonts w:hint="default"/>
      </w:rPr>
    </w:lvl>
  </w:abstractNum>
  <w:abstractNum w:abstractNumId="12" w15:restartNumberingAfterBreak="0">
    <w:nsid w:val="2FB32CA7"/>
    <w:multiLevelType w:val="multilevel"/>
    <w:tmpl w:val="2CE6C18C"/>
    <w:lvl w:ilvl="0">
      <w:start w:val="1"/>
      <w:numFmt w:val="decimal"/>
      <w:pStyle w:val="Tablenumbered"/>
      <w:lvlText w:val="%1."/>
      <w:lvlJc w:val="left"/>
      <w:pPr>
        <w:ind w:left="357" w:hanging="357"/>
      </w:pPr>
      <w:rPr>
        <w:rFonts w:hint="default"/>
      </w:rPr>
    </w:lvl>
    <w:lvl w:ilvl="1">
      <w:start w:val="1"/>
      <w:numFmt w:val="bullet"/>
      <w:pStyle w:val="Tablenumberedbullet1stlevel"/>
      <w:lvlText w:val="•"/>
      <w:lvlJc w:val="left"/>
      <w:pPr>
        <w:ind w:left="714" w:hanging="357"/>
      </w:pPr>
      <w:rPr>
        <w:rFonts w:ascii="Arial" w:hAnsi="Arial" w:hint="default"/>
      </w:rPr>
    </w:lvl>
    <w:lvl w:ilvl="2">
      <w:start w:val="1"/>
      <w:numFmt w:val="bullet"/>
      <w:pStyle w:val="Tablenumberedbullet2ndlevel"/>
      <w:lvlText w:val="-"/>
      <w:lvlJc w:val="left"/>
      <w:pPr>
        <w:ind w:left="1071" w:hanging="357"/>
      </w:pPr>
      <w:rPr>
        <w:rFonts w:ascii="Courier New" w:hAnsi="Courier New" w:hint="default"/>
      </w:rPr>
    </w:lvl>
    <w:lvl w:ilvl="3">
      <w:start w:val="1"/>
      <w:numFmt w:val="bullet"/>
      <w:lvlText w:val="-"/>
      <w:lvlJc w:val="left"/>
      <w:pPr>
        <w:ind w:left="1072" w:hanging="358"/>
      </w:pPr>
      <w:rPr>
        <w:rFonts w:ascii="Courier New" w:hAnsi="Courier New" w:hint="default"/>
      </w:rPr>
    </w:lvl>
    <w:lvl w:ilvl="4">
      <w:start w:val="1"/>
      <w:numFmt w:val="bullet"/>
      <w:lvlText w:val="-"/>
      <w:lvlJc w:val="left"/>
      <w:pPr>
        <w:ind w:left="1072" w:hanging="358"/>
      </w:pPr>
      <w:rPr>
        <w:rFonts w:ascii="Courier New" w:hAnsi="Courier New" w:hint="default"/>
      </w:rPr>
    </w:lvl>
    <w:lvl w:ilvl="5">
      <w:start w:val="1"/>
      <w:numFmt w:val="bullet"/>
      <w:lvlText w:val="-"/>
      <w:lvlJc w:val="left"/>
      <w:pPr>
        <w:ind w:left="1072" w:hanging="358"/>
      </w:pPr>
      <w:rPr>
        <w:rFonts w:ascii="Courier New" w:hAnsi="Courier New" w:hint="default"/>
      </w:rPr>
    </w:lvl>
    <w:lvl w:ilvl="6">
      <w:start w:val="1"/>
      <w:numFmt w:val="bullet"/>
      <w:lvlText w:val="-"/>
      <w:lvlJc w:val="left"/>
      <w:pPr>
        <w:ind w:left="1072" w:hanging="358"/>
      </w:pPr>
      <w:rPr>
        <w:rFonts w:ascii="Courier New" w:hAnsi="Courier New" w:hint="default"/>
      </w:rPr>
    </w:lvl>
    <w:lvl w:ilvl="7">
      <w:start w:val="1"/>
      <w:numFmt w:val="bullet"/>
      <w:lvlText w:val="-"/>
      <w:lvlJc w:val="left"/>
      <w:pPr>
        <w:ind w:left="1072" w:hanging="358"/>
      </w:pPr>
      <w:rPr>
        <w:rFonts w:ascii="Courier New" w:hAnsi="Courier New" w:hint="default"/>
      </w:rPr>
    </w:lvl>
    <w:lvl w:ilvl="8">
      <w:start w:val="1"/>
      <w:numFmt w:val="bullet"/>
      <w:lvlText w:val="-"/>
      <w:lvlJc w:val="left"/>
      <w:pPr>
        <w:ind w:left="1072" w:hanging="358"/>
      </w:pPr>
      <w:rPr>
        <w:rFonts w:ascii="Courier New" w:hAnsi="Courier New" w:hint="default"/>
      </w:rPr>
    </w:lvl>
  </w:abstractNum>
  <w:abstractNum w:abstractNumId="13" w15:restartNumberingAfterBreak="0">
    <w:nsid w:val="41F93E8E"/>
    <w:multiLevelType w:val="hybridMultilevel"/>
    <w:tmpl w:val="7842DA08"/>
    <w:lvl w:ilvl="0" w:tplc="247A9E56">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250E1"/>
    <w:multiLevelType w:val="multilevel"/>
    <w:tmpl w:val="8EA0FCDE"/>
    <w:lvl w:ilvl="0">
      <w:start w:val="1"/>
      <w:numFmt w:val="decimal"/>
      <w:lvlText w:val="%1."/>
      <w:lvlJc w:val="left"/>
      <w:pPr>
        <w:ind w:left="357" w:hanging="357"/>
      </w:pPr>
      <w:rPr>
        <w:rFonts w:hint="default"/>
      </w:rPr>
    </w:lvl>
    <w:lvl w:ilvl="1">
      <w:start w:val="1"/>
      <w:numFmt w:val="lowerLetter"/>
      <w:pStyle w:val="Tablenumberedalpha"/>
      <w:lvlText w:val="%2)"/>
      <w:lvlJc w:val="left"/>
      <w:pPr>
        <w:ind w:left="714" w:hanging="357"/>
      </w:pPr>
      <w:rPr>
        <w:rFonts w:hint="default"/>
      </w:rPr>
    </w:lvl>
    <w:lvl w:ilvl="2">
      <w:start w:val="1"/>
      <w:numFmt w:val="lowerRoman"/>
      <w:pStyle w:val="Tablenumberedroman"/>
      <w:lvlText w:val="%3)"/>
      <w:lvlJc w:val="left"/>
      <w:pPr>
        <w:ind w:left="1071" w:hanging="357"/>
      </w:pPr>
      <w:rPr>
        <w:rFonts w:hint="default"/>
      </w:rPr>
    </w:lvl>
    <w:lvl w:ilvl="3">
      <w:start w:val="1"/>
      <w:numFmt w:val="none"/>
      <w:lvlText w:val=""/>
      <w:lvlJc w:val="left"/>
      <w:pPr>
        <w:ind w:left="1072" w:hanging="358"/>
      </w:pPr>
      <w:rPr>
        <w:rFonts w:hint="default"/>
      </w:rPr>
    </w:lvl>
    <w:lvl w:ilvl="4">
      <w:start w:val="1"/>
      <w:numFmt w:val="none"/>
      <w:lvlText w:val=""/>
      <w:lvlJc w:val="left"/>
      <w:pPr>
        <w:ind w:left="1072" w:hanging="358"/>
      </w:pPr>
      <w:rPr>
        <w:rFonts w:hint="default"/>
      </w:rPr>
    </w:lvl>
    <w:lvl w:ilvl="5">
      <w:start w:val="1"/>
      <w:numFmt w:val="none"/>
      <w:lvlText w:val=""/>
      <w:lvlJc w:val="right"/>
      <w:pPr>
        <w:ind w:left="1072" w:hanging="358"/>
      </w:pPr>
      <w:rPr>
        <w:rFonts w:hint="default"/>
      </w:rPr>
    </w:lvl>
    <w:lvl w:ilvl="6">
      <w:start w:val="1"/>
      <w:numFmt w:val="none"/>
      <w:lvlText w:val=""/>
      <w:lvlJc w:val="left"/>
      <w:pPr>
        <w:ind w:left="1072" w:hanging="358"/>
      </w:pPr>
      <w:rPr>
        <w:rFonts w:hint="default"/>
      </w:rPr>
    </w:lvl>
    <w:lvl w:ilvl="7">
      <w:start w:val="1"/>
      <w:numFmt w:val="none"/>
      <w:lvlText w:val=""/>
      <w:lvlJc w:val="left"/>
      <w:pPr>
        <w:ind w:left="1072" w:hanging="358"/>
      </w:pPr>
      <w:rPr>
        <w:rFonts w:hint="default"/>
      </w:rPr>
    </w:lvl>
    <w:lvl w:ilvl="8">
      <w:start w:val="1"/>
      <w:numFmt w:val="none"/>
      <w:lvlText w:val=""/>
      <w:lvlJc w:val="right"/>
      <w:pPr>
        <w:ind w:left="1072" w:hanging="358"/>
      </w:pPr>
      <w:rPr>
        <w:rFonts w:hint="default"/>
      </w:rPr>
    </w:lvl>
  </w:abstractNum>
  <w:abstractNum w:abstractNumId="15" w15:restartNumberingAfterBreak="0">
    <w:nsid w:val="4AD91A6D"/>
    <w:multiLevelType w:val="multilevel"/>
    <w:tmpl w:val="B23418F0"/>
    <w:styleLink w:val="Style1"/>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6" w15:restartNumberingAfterBreak="0">
    <w:nsid w:val="5DA25AA9"/>
    <w:multiLevelType w:val="multilevel"/>
    <w:tmpl w:val="DDD011D6"/>
    <w:lvl w:ilvl="0">
      <w:start w:val="1"/>
      <w:numFmt w:val="none"/>
      <w:pStyle w:val="TableNote-"/>
      <w:lvlText w:val="^"/>
      <w:lvlJc w:val="left"/>
      <w:pPr>
        <w:ind w:left="360" w:hanging="360"/>
      </w:pPr>
      <w:rPr>
        <w:rFonts w:hint="default"/>
      </w:rPr>
    </w:lvl>
    <w:lvl w:ilvl="1">
      <w:start w:val="1"/>
      <w:numFmt w:val="none"/>
      <w:lvlRestart w:val="0"/>
      <w:pStyle w:val="TableNote-0"/>
      <w:lvlText w:val="&lt;"/>
      <w:lvlJc w:val="left"/>
      <w:pPr>
        <w:ind w:left="357" w:hanging="357"/>
      </w:pPr>
      <w:rPr>
        <w:rFonts w:hint="default"/>
      </w:rPr>
    </w:lvl>
    <w:lvl w:ilvl="2">
      <w:start w:val="1"/>
      <w:numFmt w:val="none"/>
      <w:lvlRestart w:val="0"/>
      <w:pStyle w:val="TableNote-1"/>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pStyle w:val="TableNote-2"/>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BD1DF8"/>
    <w:multiLevelType w:val="multilevel"/>
    <w:tmpl w:val="FC2CB548"/>
    <w:lvl w:ilvl="0">
      <w:start w:val="1"/>
      <w:numFmt w:val="decimal"/>
      <w:lvlText w:val="%1."/>
      <w:lvlJc w:val="left"/>
      <w:pPr>
        <w:ind w:left="1134" w:hanging="567"/>
      </w:pPr>
      <w:rPr>
        <w:rFonts w:hint="default"/>
      </w:rPr>
    </w:lvl>
    <w:lvl w:ilvl="1">
      <w:start w:val="1"/>
      <w:numFmt w:val="bullet"/>
      <w:pStyle w:val="Numberedbullet1stlevel"/>
      <w:lvlText w:val="•"/>
      <w:lvlJc w:val="left"/>
      <w:pPr>
        <w:ind w:left="1701" w:hanging="567"/>
      </w:pPr>
      <w:rPr>
        <w:rFonts w:ascii="Arial" w:hAnsi="Arial" w:hint="default"/>
      </w:rPr>
    </w:lvl>
    <w:lvl w:ilvl="2">
      <w:start w:val="1"/>
      <w:numFmt w:val="bullet"/>
      <w:pStyle w:val="Numberedbullet2ndlevel"/>
      <w:lvlText w:val="­"/>
      <w:lvlJc w:val="left"/>
      <w:pPr>
        <w:ind w:left="2268" w:hanging="567"/>
      </w:pPr>
      <w:rPr>
        <w:rFonts w:ascii="Courier New" w:hAnsi="Courier New" w:hint="default"/>
      </w:rPr>
    </w:lvl>
    <w:lvl w:ilvl="3">
      <w:start w:val="1"/>
      <w:numFmt w:val="none"/>
      <w:lvlText w:val=""/>
      <w:lvlJc w:val="left"/>
      <w:pPr>
        <w:ind w:left="2268" w:hanging="567"/>
      </w:pPr>
      <w:rPr>
        <w:rFonts w:hint="default"/>
      </w:rPr>
    </w:lvl>
    <w:lvl w:ilvl="4">
      <w:start w:val="1"/>
      <w:numFmt w:val="none"/>
      <w:lvlText w:val="%5"/>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8"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0316870"/>
    <w:multiLevelType w:val="multilevel"/>
    <w:tmpl w:val="D59A1A06"/>
    <w:lvl w:ilvl="0">
      <w:start w:val="1"/>
      <w:numFmt w:val="decimal"/>
      <w:lvlText w:val="%1"/>
      <w:lvlJc w:val="left"/>
      <w:pPr>
        <w:ind w:left="567" w:hanging="567"/>
      </w:pPr>
      <w:rPr>
        <w:rFonts w:ascii="Arial" w:hAnsi="Arial" w:hint="default"/>
        <w:b/>
        <w:i w:val="0"/>
        <w:color w:val="D14340"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0" w15:restartNumberingAfterBreak="0">
    <w:nsid w:val="743571DA"/>
    <w:multiLevelType w:val="multilevel"/>
    <w:tmpl w:val="C8F84934"/>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714" w:hanging="357"/>
      </w:pPr>
      <w:rPr>
        <w:rFonts w:ascii="Courier New" w:hAnsi="Courier New" w:hint="default"/>
      </w:rPr>
    </w:lvl>
    <w:lvl w:ilvl="3">
      <w:start w:val="1"/>
      <w:numFmt w:val="bullet"/>
      <w:lvlText w:val="-"/>
      <w:lvlJc w:val="left"/>
      <w:pPr>
        <w:ind w:left="714" w:hanging="357"/>
      </w:pPr>
      <w:rPr>
        <w:rFonts w:ascii="Courier New" w:hAnsi="Courier New" w:hint="default"/>
      </w:rPr>
    </w:lvl>
    <w:lvl w:ilvl="4">
      <w:start w:val="1"/>
      <w:numFmt w:val="bullet"/>
      <w:lvlText w:val="-"/>
      <w:lvlJc w:val="left"/>
      <w:pPr>
        <w:ind w:left="714" w:hanging="357"/>
      </w:pPr>
      <w:rPr>
        <w:rFonts w:ascii="Courier New" w:hAnsi="Courier New" w:hint="default"/>
      </w:rPr>
    </w:lvl>
    <w:lvl w:ilvl="5">
      <w:start w:val="1"/>
      <w:numFmt w:val="bullet"/>
      <w:lvlText w:val="-"/>
      <w:lvlJc w:val="left"/>
      <w:pPr>
        <w:ind w:left="714" w:hanging="357"/>
      </w:pPr>
      <w:rPr>
        <w:rFonts w:ascii="Courier New" w:hAnsi="Courier New" w:hint="default"/>
      </w:rPr>
    </w:lvl>
    <w:lvl w:ilvl="6">
      <w:start w:val="1"/>
      <w:numFmt w:val="bullet"/>
      <w:lvlText w:val="-"/>
      <w:lvlJc w:val="left"/>
      <w:pPr>
        <w:ind w:left="714" w:hanging="357"/>
      </w:pPr>
      <w:rPr>
        <w:rFonts w:ascii="Courier New" w:hAnsi="Courier New" w:hint="default"/>
      </w:rPr>
    </w:lvl>
    <w:lvl w:ilvl="7">
      <w:start w:val="1"/>
      <w:numFmt w:val="bullet"/>
      <w:lvlText w:val="-"/>
      <w:lvlJc w:val="left"/>
      <w:pPr>
        <w:ind w:left="714" w:hanging="357"/>
      </w:pPr>
      <w:rPr>
        <w:rFonts w:ascii="Courier New" w:hAnsi="Courier New" w:hint="default"/>
      </w:rPr>
    </w:lvl>
    <w:lvl w:ilvl="8">
      <w:start w:val="1"/>
      <w:numFmt w:val="bullet"/>
      <w:lvlText w:val="-"/>
      <w:lvlJc w:val="left"/>
      <w:pPr>
        <w:ind w:left="714" w:hanging="357"/>
      </w:pPr>
      <w:rPr>
        <w:rFonts w:ascii="Courier New" w:hAnsi="Courier New" w:hint="default"/>
      </w:rPr>
    </w:lvl>
  </w:abstractNum>
  <w:abstractNum w:abstractNumId="21"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9"/>
  </w:num>
  <w:num w:numId="4">
    <w:abstractNumId w:val="18"/>
  </w:num>
  <w:num w:numId="5">
    <w:abstractNumId w:val="19"/>
  </w:num>
  <w:num w:numId="6">
    <w:abstractNumId w:val="0"/>
  </w:num>
  <w:num w:numId="7">
    <w:abstractNumId w:val="7"/>
  </w:num>
  <w:num w:numId="8">
    <w:abstractNumId w:val="3"/>
  </w:num>
  <w:num w:numId="9">
    <w:abstractNumId w:val="16"/>
  </w:num>
  <w:num w:numId="10">
    <w:abstractNumId w:val="20"/>
  </w:num>
  <w:num w:numId="11">
    <w:abstractNumId w:val="8"/>
  </w:num>
  <w:num w:numId="12">
    <w:abstractNumId w:val="6"/>
  </w:num>
  <w:num w:numId="13">
    <w:abstractNumId w:val="21"/>
  </w:num>
  <w:num w:numId="14">
    <w:abstractNumId w:val="13"/>
  </w:num>
  <w:num w:numId="15">
    <w:abstractNumId w:val="11"/>
  </w:num>
  <w:num w:numId="16">
    <w:abstractNumId w:val="2"/>
  </w:num>
  <w:num w:numId="17">
    <w:abstractNumId w:val="1"/>
  </w:num>
  <w:num w:numId="18">
    <w:abstractNumId w:val="15"/>
  </w:num>
  <w:num w:numId="19">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0">
    <w:abstractNumId w:val="10"/>
  </w:num>
  <w:num w:numId="21">
    <w:abstractNumId w:val="4"/>
  </w:num>
  <w:num w:numId="2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righ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right"/>
        <w:pPr>
          <w:ind w:left="1134" w:hanging="567"/>
        </w:pPr>
        <w:rPr>
          <w:rFonts w:hint="default"/>
        </w:rPr>
      </w:lvl>
    </w:lvlOverride>
  </w:num>
  <w:num w:numId="24">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Restart w:val="1"/>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567" w:hanging="567"/>
        </w:pPr>
        <w:rPr>
          <w:rFonts w:ascii="Courier New" w:hAnsi="Courier New" w:hint="default"/>
        </w:rPr>
      </w:lvl>
    </w:lvlOverride>
    <w:lvlOverride w:ilvl="4">
      <w:lvl w:ilvl="4">
        <w:start w:val="1"/>
        <w:numFmt w:val="none"/>
        <w:lvlText w:val="%5."/>
        <w:lvlJc w:val="left"/>
        <w:pPr>
          <w:ind w:left="567" w:hanging="567"/>
        </w:pPr>
        <w:rPr>
          <w:rFonts w:hint="default"/>
        </w:rPr>
      </w:lvl>
    </w:lvlOverride>
    <w:lvlOverride w:ilvl="5">
      <w:lvl w:ilvl="5">
        <w:start w:val="1"/>
        <w:numFmt w:val="none"/>
        <w:lvlText w:val="%6."/>
        <w:lvlJc w:val="right"/>
        <w:pPr>
          <w:ind w:left="567" w:hanging="567"/>
        </w:pPr>
        <w:rPr>
          <w:rFonts w:hint="default"/>
        </w:rPr>
      </w:lvl>
    </w:lvlOverride>
    <w:lvlOverride w:ilvl="6">
      <w:lvl w:ilvl="6">
        <w:start w:val="1"/>
        <w:numFmt w:val="none"/>
        <w:lvlText w:val="%7."/>
        <w:lvlJc w:val="left"/>
        <w:pPr>
          <w:ind w:left="567" w:hanging="567"/>
        </w:pPr>
        <w:rPr>
          <w:rFonts w:hint="default"/>
        </w:rPr>
      </w:lvl>
    </w:lvlOverride>
    <w:lvlOverride w:ilvl="7">
      <w:lvl w:ilvl="7">
        <w:start w:val="1"/>
        <w:numFmt w:val="none"/>
        <w:lvlText w:val="%8."/>
        <w:lvlJc w:val="left"/>
        <w:pPr>
          <w:ind w:left="567" w:hanging="567"/>
        </w:pPr>
        <w:rPr>
          <w:rFonts w:hint="default"/>
        </w:rPr>
      </w:lvl>
    </w:lvlOverride>
    <w:lvlOverride w:ilvl="8">
      <w:lvl w:ilvl="8">
        <w:start w:val="1"/>
        <w:numFmt w:val="none"/>
        <w:lvlText w:val="%9."/>
        <w:lvlJc w:val="right"/>
        <w:pPr>
          <w:ind w:left="567" w:hanging="567"/>
        </w:pPr>
        <w:rPr>
          <w:rFonts w:hint="default"/>
        </w:rPr>
      </w:lvl>
    </w:lvlOverride>
  </w:num>
  <w:num w:numId="25">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1"/>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2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3">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none"/>
        <w:pStyle w:val="Bullet2ndlevel"/>
        <w:lvlText w:val=""/>
        <w:lvlJc w:val="left"/>
        <w:pPr>
          <w:ind w:left="1134" w:hanging="567"/>
        </w:pPr>
        <w:rPr>
          <w:rFonts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4">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5">
    <w:abstractNumId w:val="0"/>
    <w:lvlOverride w:ilvl="0">
      <w:lvl w:ilvl="0">
        <w:start w:val="1"/>
        <w:numFmt w:val="decimal"/>
        <w:pStyle w:val="Heading1-NumberedRED"/>
        <w:lvlText w:val="%1"/>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
        <w:lvlJc w:val="left"/>
        <w:pPr>
          <w:ind w:left="1134" w:hanging="567"/>
        </w:pPr>
        <w:rPr>
          <w:rFonts w:hint="default"/>
        </w:rPr>
      </w:lvl>
    </w:lvlOverride>
    <w:lvlOverride w:ilvl="5">
      <w:lvl w:ilvl="5">
        <w:start w:val="1"/>
        <w:numFmt w:val="none"/>
        <w:lvlText w:val=""/>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6">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7">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8">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39">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0">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1">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2">
    <w:abstractNumId w:val="0"/>
    <w:lvlOverride w:ilvl="0">
      <w:lvl w:ilvl="0">
        <w:start w:val="1"/>
        <w:numFmt w:val="decimal"/>
        <w:pStyle w:val="Heading1-NumberedRED"/>
        <w:lvlText w:val="%1"/>
        <w:lvlJc w:val="left"/>
        <w:pPr>
          <w:ind w:left="567" w:hanging="567"/>
        </w:pPr>
        <w:rPr>
          <w:rFonts w:ascii="Arial" w:hAnsi="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Override>
    <w:lvlOverride w:ilvl="1">
      <w:lvl w:ilvl="1">
        <w:start w:val="1"/>
        <w:numFmt w:val="decimal"/>
        <w:pStyle w:val="Heading2-Numbered"/>
        <w:lvlText w:val="2.%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pStyle w:val="Bullet2ndlevel"/>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0"/>
  </w:num>
  <w:num w:numId="44">
    <w:abstractNumId w:val="17"/>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sjAzMrE0NTUzNTNQ0lEKTi0uzszPAykwrQUAyxFQxiwAAAA="/>
  </w:docVars>
  <w:rsids>
    <w:rsidRoot w:val="009B08F0"/>
    <w:rsid w:val="000119EB"/>
    <w:rsid w:val="000300FF"/>
    <w:rsid w:val="00037046"/>
    <w:rsid w:val="00051E6A"/>
    <w:rsid w:val="00091F6F"/>
    <w:rsid w:val="000A13C4"/>
    <w:rsid w:val="000A4278"/>
    <w:rsid w:val="000B1DB6"/>
    <w:rsid w:val="000D7000"/>
    <w:rsid w:val="000E4ACD"/>
    <w:rsid w:val="000E527B"/>
    <w:rsid w:val="00117B6C"/>
    <w:rsid w:val="001251B0"/>
    <w:rsid w:val="00142D63"/>
    <w:rsid w:val="00143955"/>
    <w:rsid w:val="00146B05"/>
    <w:rsid w:val="00156548"/>
    <w:rsid w:val="00162622"/>
    <w:rsid w:val="00163532"/>
    <w:rsid w:val="001952BC"/>
    <w:rsid w:val="001A5588"/>
    <w:rsid w:val="001B09EA"/>
    <w:rsid w:val="001B7377"/>
    <w:rsid w:val="001C32A6"/>
    <w:rsid w:val="001D2CC2"/>
    <w:rsid w:val="001D309B"/>
    <w:rsid w:val="001D5305"/>
    <w:rsid w:val="001E160A"/>
    <w:rsid w:val="001F3BE6"/>
    <w:rsid w:val="001F4CDB"/>
    <w:rsid w:val="001F5E2E"/>
    <w:rsid w:val="001F6005"/>
    <w:rsid w:val="00203A9D"/>
    <w:rsid w:val="00211AED"/>
    <w:rsid w:val="00222A16"/>
    <w:rsid w:val="00237C67"/>
    <w:rsid w:val="00243F07"/>
    <w:rsid w:val="002512FF"/>
    <w:rsid w:val="002515BB"/>
    <w:rsid w:val="002A049C"/>
    <w:rsid w:val="002A0F1B"/>
    <w:rsid w:val="002A5745"/>
    <w:rsid w:val="002B34B5"/>
    <w:rsid w:val="002C4861"/>
    <w:rsid w:val="002C6360"/>
    <w:rsid w:val="002D4F15"/>
    <w:rsid w:val="003025A0"/>
    <w:rsid w:val="00310549"/>
    <w:rsid w:val="00310C42"/>
    <w:rsid w:val="00322C0E"/>
    <w:rsid w:val="0032779F"/>
    <w:rsid w:val="0033088E"/>
    <w:rsid w:val="003358CE"/>
    <w:rsid w:val="0034288F"/>
    <w:rsid w:val="003472C3"/>
    <w:rsid w:val="00352B61"/>
    <w:rsid w:val="00361823"/>
    <w:rsid w:val="00382DDA"/>
    <w:rsid w:val="0039166B"/>
    <w:rsid w:val="003A3D5A"/>
    <w:rsid w:val="003A7CBA"/>
    <w:rsid w:val="003B09A1"/>
    <w:rsid w:val="003B5745"/>
    <w:rsid w:val="003B729C"/>
    <w:rsid w:val="003D39BA"/>
    <w:rsid w:val="003E4D0D"/>
    <w:rsid w:val="003E7E59"/>
    <w:rsid w:val="00400B1C"/>
    <w:rsid w:val="00403A88"/>
    <w:rsid w:val="00415F1E"/>
    <w:rsid w:val="00434427"/>
    <w:rsid w:val="00437E51"/>
    <w:rsid w:val="00446D4A"/>
    <w:rsid w:val="004513E1"/>
    <w:rsid w:val="004764DB"/>
    <w:rsid w:val="00476F43"/>
    <w:rsid w:val="00485EB4"/>
    <w:rsid w:val="0048618C"/>
    <w:rsid w:val="004A2329"/>
    <w:rsid w:val="004A24F1"/>
    <w:rsid w:val="004A2599"/>
    <w:rsid w:val="004A26C1"/>
    <w:rsid w:val="004A679C"/>
    <w:rsid w:val="004B28B2"/>
    <w:rsid w:val="004B6E23"/>
    <w:rsid w:val="004C4D40"/>
    <w:rsid w:val="004C7C0D"/>
    <w:rsid w:val="004E7F89"/>
    <w:rsid w:val="004F62A3"/>
    <w:rsid w:val="005101D6"/>
    <w:rsid w:val="00523ACD"/>
    <w:rsid w:val="0053166B"/>
    <w:rsid w:val="00531F97"/>
    <w:rsid w:val="005324B9"/>
    <w:rsid w:val="005365C2"/>
    <w:rsid w:val="00547499"/>
    <w:rsid w:val="005828A9"/>
    <w:rsid w:val="00597DF0"/>
    <w:rsid w:val="005A260E"/>
    <w:rsid w:val="005A422E"/>
    <w:rsid w:val="005C29A8"/>
    <w:rsid w:val="005C454E"/>
    <w:rsid w:val="005C7996"/>
    <w:rsid w:val="005D6327"/>
    <w:rsid w:val="00601580"/>
    <w:rsid w:val="0060492C"/>
    <w:rsid w:val="0060753C"/>
    <w:rsid w:val="00610172"/>
    <w:rsid w:val="0061304D"/>
    <w:rsid w:val="00624537"/>
    <w:rsid w:val="006719C5"/>
    <w:rsid w:val="00673CBB"/>
    <w:rsid w:val="00683AED"/>
    <w:rsid w:val="00686D73"/>
    <w:rsid w:val="006A42D1"/>
    <w:rsid w:val="006B0845"/>
    <w:rsid w:val="006B430E"/>
    <w:rsid w:val="006C4862"/>
    <w:rsid w:val="006D6438"/>
    <w:rsid w:val="006D6862"/>
    <w:rsid w:val="006E16A2"/>
    <w:rsid w:val="006E188C"/>
    <w:rsid w:val="006F3C7A"/>
    <w:rsid w:val="00700AD3"/>
    <w:rsid w:val="007012FB"/>
    <w:rsid w:val="007333B5"/>
    <w:rsid w:val="0073554E"/>
    <w:rsid w:val="00770E6A"/>
    <w:rsid w:val="00772E6B"/>
    <w:rsid w:val="007758D8"/>
    <w:rsid w:val="00782E79"/>
    <w:rsid w:val="0078314C"/>
    <w:rsid w:val="0078471E"/>
    <w:rsid w:val="0078644F"/>
    <w:rsid w:val="007948B2"/>
    <w:rsid w:val="007A3427"/>
    <w:rsid w:val="007B72D0"/>
    <w:rsid w:val="007C154A"/>
    <w:rsid w:val="007C25B3"/>
    <w:rsid w:val="007C2968"/>
    <w:rsid w:val="007C3D79"/>
    <w:rsid w:val="007D04E2"/>
    <w:rsid w:val="007F0932"/>
    <w:rsid w:val="007F249D"/>
    <w:rsid w:val="00807901"/>
    <w:rsid w:val="00811B4B"/>
    <w:rsid w:val="00837CC9"/>
    <w:rsid w:val="00840493"/>
    <w:rsid w:val="00840936"/>
    <w:rsid w:val="008602F0"/>
    <w:rsid w:val="00871CA2"/>
    <w:rsid w:val="008944EC"/>
    <w:rsid w:val="008A699C"/>
    <w:rsid w:val="008A6F75"/>
    <w:rsid w:val="008A7F55"/>
    <w:rsid w:val="008C34A3"/>
    <w:rsid w:val="008E63AB"/>
    <w:rsid w:val="00906C49"/>
    <w:rsid w:val="00927868"/>
    <w:rsid w:val="00947671"/>
    <w:rsid w:val="00952BF9"/>
    <w:rsid w:val="00954CF4"/>
    <w:rsid w:val="0095580D"/>
    <w:rsid w:val="00970EDD"/>
    <w:rsid w:val="00980E2B"/>
    <w:rsid w:val="00986CC3"/>
    <w:rsid w:val="00990D4C"/>
    <w:rsid w:val="009B08F0"/>
    <w:rsid w:val="009C7396"/>
    <w:rsid w:val="009D4131"/>
    <w:rsid w:val="009E2519"/>
    <w:rsid w:val="00A03972"/>
    <w:rsid w:val="00A11508"/>
    <w:rsid w:val="00A15430"/>
    <w:rsid w:val="00A15BB8"/>
    <w:rsid w:val="00A356B6"/>
    <w:rsid w:val="00A357EB"/>
    <w:rsid w:val="00A5128B"/>
    <w:rsid w:val="00A63F7D"/>
    <w:rsid w:val="00A66D5A"/>
    <w:rsid w:val="00A80AA2"/>
    <w:rsid w:val="00A91642"/>
    <w:rsid w:val="00A9213D"/>
    <w:rsid w:val="00AC6D4C"/>
    <w:rsid w:val="00AC7B7B"/>
    <w:rsid w:val="00AD7B44"/>
    <w:rsid w:val="00AE086E"/>
    <w:rsid w:val="00AF121C"/>
    <w:rsid w:val="00B0544F"/>
    <w:rsid w:val="00B076D6"/>
    <w:rsid w:val="00B10E23"/>
    <w:rsid w:val="00B1436B"/>
    <w:rsid w:val="00B14599"/>
    <w:rsid w:val="00B30B57"/>
    <w:rsid w:val="00B317CB"/>
    <w:rsid w:val="00B422A0"/>
    <w:rsid w:val="00B566E7"/>
    <w:rsid w:val="00B578C1"/>
    <w:rsid w:val="00B61FF7"/>
    <w:rsid w:val="00BA2D5B"/>
    <w:rsid w:val="00BB7D6E"/>
    <w:rsid w:val="00BC156D"/>
    <w:rsid w:val="00BC3514"/>
    <w:rsid w:val="00BC42EB"/>
    <w:rsid w:val="00BD058E"/>
    <w:rsid w:val="00BD1055"/>
    <w:rsid w:val="00BD32A3"/>
    <w:rsid w:val="00BD65A4"/>
    <w:rsid w:val="00BE29BA"/>
    <w:rsid w:val="00BF168E"/>
    <w:rsid w:val="00C1383B"/>
    <w:rsid w:val="00C33414"/>
    <w:rsid w:val="00C334BE"/>
    <w:rsid w:val="00C47DB6"/>
    <w:rsid w:val="00C50B66"/>
    <w:rsid w:val="00C51E06"/>
    <w:rsid w:val="00C531CE"/>
    <w:rsid w:val="00C80B47"/>
    <w:rsid w:val="00C810D0"/>
    <w:rsid w:val="00CB28AB"/>
    <w:rsid w:val="00CB5420"/>
    <w:rsid w:val="00CC649D"/>
    <w:rsid w:val="00CD3EF4"/>
    <w:rsid w:val="00CE21CE"/>
    <w:rsid w:val="00CE52F6"/>
    <w:rsid w:val="00CF3DEA"/>
    <w:rsid w:val="00D16C9A"/>
    <w:rsid w:val="00D21EAD"/>
    <w:rsid w:val="00D441D6"/>
    <w:rsid w:val="00D52186"/>
    <w:rsid w:val="00D56625"/>
    <w:rsid w:val="00D731C2"/>
    <w:rsid w:val="00D90E06"/>
    <w:rsid w:val="00DA50D2"/>
    <w:rsid w:val="00DB127A"/>
    <w:rsid w:val="00DB18E3"/>
    <w:rsid w:val="00DB3FF4"/>
    <w:rsid w:val="00DB6962"/>
    <w:rsid w:val="00DC052D"/>
    <w:rsid w:val="00DD5056"/>
    <w:rsid w:val="00E11598"/>
    <w:rsid w:val="00E11AC6"/>
    <w:rsid w:val="00E130A6"/>
    <w:rsid w:val="00E14170"/>
    <w:rsid w:val="00E21E8F"/>
    <w:rsid w:val="00E35228"/>
    <w:rsid w:val="00E51131"/>
    <w:rsid w:val="00E54324"/>
    <w:rsid w:val="00E54B33"/>
    <w:rsid w:val="00E550A7"/>
    <w:rsid w:val="00E834CB"/>
    <w:rsid w:val="00E906F0"/>
    <w:rsid w:val="00E91E3A"/>
    <w:rsid w:val="00EA4DDE"/>
    <w:rsid w:val="00EB3846"/>
    <w:rsid w:val="00EC361E"/>
    <w:rsid w:val="00ED129F"/>
    <w:rsid w:val="00EE3BE1"/>
    <w:rsid w:val="00F11784"/>
    <w:rsid w:val="00F37F27"/>
    <w:rsid w:val="00F40548"/>
    <w:rsid w:val="00F7334E"/>
    <w:rsid w:val="00F80E19"/>
    <w:rsid w:val="00F877DE"/>
    <w:rsid w:val="00FA2B3A"/>
    <w:rsid w:val="00FB46E8"/>
    <w:rsid w:val="00FC018B"/>
    <w:rsid w:val="00FC1C06"/>
    <w:rsid w:val="00FC5C82"/>
    <w:rsid w:val="00FE68AA"/>
    <w:rsid w:val="00FF40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9965"/>
  <w15:chartTrackingRefBased/>
  <w15:docId w15:val="{5E42AA60-60ED-44D8-ADCE-2AB98C1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semiHidden="1" w:uiPriority="0" w:qFormat="1"/>
    <w:lsdException w:name="heading 2" w:locked="0"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0"/>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locked="0"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7012FB"/>
    <w:pPr>
      <w:spacing w:after="0" w:line="240" w:lineRule="auto"/>
    </w:pPr>
    <w:rPr>
      <w:rFonts w:ascii="Arial" w:eastAsia="Calibri" w:hAnsi="Arial" w:cs="Times New Roman"/>
      <w:sz w:val="20"/>
    </w:rPr>
  </w:style>
  <w:style w:type="paragraph" w:styleId="Heading1">
    <w:name w:val="heading 1"/>
    <w:basedOn w:val="Normal"/>
    <w:next w:val="Normal"/>
    <w:link w:val="Heading1Char"/>
    <w:qFormat/>
    <w:rsid w:val="00DA50D2"/>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4A2599"/>
    <w:pPr>
      <w:keepNext/>
      <w:keepLines/>
      <w:spacing w:before="58" w:after="114"/>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50D2"/>
    <w:pPr>
      <w:spacing w:after="170" w:line="240" w:lineRule="atLeast"/>
    </w:pPr>
    <w:rPr>
      <w:szCs w:val="20"/>
    </w:rPr>
  </w:style>
  <w:style w:type="character" w:customStyle="1" w:styleId="BodyTextChar">
    <w:name w:val="Body Text Char"/>
    <w:basedOn w:val="DefaultParagraphFont"/>
    <w:link w:val="BodyText"/>
    <w:rsid w:val="00DA50D2"/>
    <w:rPr>
      <w:rFonts w:ascii="Arial" w:eastAsia="Calibri" w:hAnsi="Arial" w:cs="Times New Roman"/>
      <w:sz w:val="20"/>
      <w:szCs w:val="20"/>
    </w:rPr>
  </w:style>
  <w:style w:type="paragraph" w:customStyle="1" w:styleId="Bodytextrightaligned">
    <w:name w:val="Body text right aligned"/>
    <w:basedOn w:val="BodyText"/>
    <w:rsid w:val="00DA50D2"/>
    <w:pPr>
      <w:jc w:val="right"/>
    </w:pPr>
    <w:rPr>
      <w:rFonts w:eastAsia="Times New Roman"/>
    </w:rPr>
  </w:style>
  <w:style w:type="character" w:customStyle="1" w:styleId="Bold">
    <w:name w:val="Bold"/>
    <w:basedOn w:val="DefaultParagraphFont"/>
    <w:qFormat/>
    <w:rsid w:val="00211AED"/>
    <w:rPr>
      <w:b/>
    </w:rPr>
  </w:style>
  <w:style w:type="character" w:customStyle="1" w:styleId="BoldItalic">
    <w:name w:val="Bold + Italic"/>
    <w:basedOn w:val="DefaultParagraphFont"/>
    <w:qFormat/>
    <w:rsid w:val="00211AED"/>
    <w:rPr>
      <w:b/>
      <w:i/>
    </w:rPr>
  </w:style>
  <w:style w:type="paragraph" w:customStyle="1" w:styleId="Bullet1stlevel">
    <w:name w:val="Bullet 1st level"/>
    <w:basedOn w:val="BodyText"/>
    <w:link w:val="Bullet1stlevelChar"/>
    <w:qFormat/>
    <w:rsid w:val="00DA50D2"/>
    <w:pPr>
      <w:numPr>
        <w:numId w:val="2"/>
      </w:numPr>
      <w:spacing w:before="60" w:after="60"/>
    </w:pPr>
    <w:rPr>
      <w:szCs w:val="22"/>
    </w:rPr>
  </w:style>
  <w:style w:type="character" w:customStyle="1" w:styleId="Bullet1stlevelChar">
    <w:name w:val="Bullet 1st level Char"/>
    <w:link w:val="Bullet1stlevel"/>
    <w:locked/>
    <w:rsid w:val="00DA50D2"/>
    <w:rPr>
      <w:rFonts w:ascii="Arial" w:eastAsia="Calibri" w:hAnsi="Arial" w:cs="Times New Roman"/>
      <w:sz w:val="20"/>
    </w:rPr>
  </w:style>
  <w:style w:type="paragraph" w:customStyle="1" w:styleId="Bullet2ndlevel">
    <w:name w:val="Bullet 2nd level"/>
    <w:basedOn w:val="Bullet1stlevel"/>
    <w:qFormat/>
    <w:rsid w:val="00DA50D2"/>
    <w:pPr>
      <w:numPr>
        <w:ilvl w:val="3"/>
        <w:numId w:val="43"/>
      </w:numPr>
    </w:pPr>
  </w:style>
  <w:style w:type="paragraph" w:customStyle="1" w:styleId="Contentspageheading">
    <w:name w:val="Contents page heading"/>
    <w:basedOn w:val="Normal"/>
    <w:qFormat/>
    <w:rsid w:val="008A6F75"/>
    <w:pPr>
      <w:jc w:val="center"/>
    </w:pPr>
    <w:rPr>
      <w:sz w:val="80"/>
      <w:szCs w:val="80"/>
    </w:rPr>
  </w:style>
  <w:style w:type="paragraph" w:customStyle="1" w:styleId="CoverHeading1">
    <w:name w:val="Cover Heading 1"/>
    <w:basedOn w:val="Normal"/>
    <w:qFormat/>
    <w:rsid w:val="004B6E23"/>
    <w:pPr>
      <w:keepNext/>
    </w:pPr>
    <w:rPr>
      <w:rFonts w:ascii="Arial Narrow" w:eastAsia="Arial" w:hAnsi="Arial Narrow" w:cs="Arial"/>
      <w:sz w:val="120"/>
      <w:szCs w:val="56"/>
      <w:lang w:bidi="en-US"/>
    </w:rPr>
  </w:style>
  <w:style w:type="paragraph" w:customStyle="1" w:styleId="CoverHeading2">
    <w:name w:val="Cover Heading 2"/>
    <w:basedOn w:val="Normal"/>
    <w:qFormat/>
    <w:rsid w:val="00476F43"/>
    <w:pPr>
      <w:keepNext/>
      <w:spacing w:before="114" w:after="170"/>
      <w:outlineLvl w:val="0"/>
    </w:pPr>
    <w:rPr>
      <w:rFonts w:eastAsia="Arial" w:cs="Arial"/>
      <w:sz w:val="36"/>
      <w:szCs w:val="36"/>
      <w:lang w:bidi="en-US"/>
    </w:rPr>
  </w:style>
  <w:style w:type="paragraph" w:customStyle="1" w:styleId="HeadingCentred">
    <w:name w:val="Heading – Centred"/>
    <w:basedOn w:val="Normal"/>
    <w:qFormat/>
    <w:rsid w:val="00DA50D2"/>
    <w:pPr>
      <w:keepNext/>
      <w:spacing w:before="114" w:after="170"/>
      <w:jc w:val="center"/>
      <w:outlineLvl w:val="0"/>
    </w:pPr>
    <w:rPr>
      <w:rFonts w:eastAsia="Times New Roman"/>
      <w:b/>
      <w:bCs/>
      <w:sz w:val="24"/>
      <w:szCs w:val="28"/>
      <w:lang w:bidi="en-US"/>
    </w:rPr>
  </w:style>
  <w:style w:type="paragraph" w:customStyle="1" w:styleId="HeadingCentredsmall">
    <w:name w:val="Heading – Centred (small)"/>
    <w:basedOn w:val="Normal"/>
    <w:qFormat/>
    <w:rsid w:val="00DA50D2"/>
    <w:pPr>
      <w:keepNext/>
      <w:spacing w:before="114" w:after="170"/>
      <w:jc w:val="center"/>
    </w:pPr>
    <w:rPr>
      <w:rFonts w:eastAsia="Times New Roman"/>
      <w:b/>
      <w:bCs/>
      <w:szCs w:val="28"/>
      <w:lang w:bidi="en-US"/>
    </w:rPr>
  </w:style>
  <w:style w:type="paragraph" w:styleId="FootnoteText">
    <w:name w:val="footnote text"/>
    <w:basedOn w:val="Normal"/>
    <w:link w:val="FootnoteTextChar"/>
    <w:rsid w:val="00211AED"/>
    <w:rPr>
      <w:rFonts w:eastAsiaTheme="minorEastAsia" w:cstheme="minorBidi"/>
      <w:sz w:val="18"/>
      <w:szCs w:val="20"/>
      <w:lang w:bidi="en-US"/>
    </w:rPr>
  </w:style>
  <w:style w:type="character" w:customStyle="1" w:styleId="FootnoteTextChar">
    <w:name w:val="Footnote Text Char"/>
    <w:basedOn w:val="DefaultParagraphFont"/>
    <w:link w:val="FootnoteText"/>
    <w:rsid w:val="00C80B47"/>
    <w:rPr>
      <w:rFonts w:ascii="Arial" w:eastAsiaTheme="minorEastAsia" w:hAnsi="Arial"/>
      <w:sz w:val="18"/>
      <w:szCs w:val="20"/>
      <w:lang w:bidi="en-US"/>
    </w:rPr>
  </w:style>
  <w:style w:type="character" w:styleId="FootnoteReference">
    <w:name w:val="footnote reference"/>
    <w:basedOn w:val="DefaultParagraphFont"/>
    <w:rsid w:val="00211AED"/>
    <w:rPr>
      <w:vertAlign w:val="superscript"/>
    </w:rPr>
  </w:style>
  <w:style w:type="paragraph" w:customStyle="1" w:styleId="Heading-LeftSmall">
    <w:name w:val="Heading - Left (Small)"/>
    <w:qFormat/>
    <w:rsid w:val="00DA50D2"/>
    <w:pPr>
      <w:keepNext/>
      <w:spacing w:after="170" w:line="240" w:lineRule="atLeast"/>
    </w:pPr>
    <w:rPr>
      <w:rFonts w:ascii="Arial" w:eastAsia="Times New Roman" w:hAnsi="Arial" w:cs="Times New Roman"/>
      <w:b/>
      <w:sz w:val="20"/>
      <w:lang w:val="en-GB" w:bidi="en-US"/>
    </w:rPr>
  </w:style>
  <w:style w:type="character" w:styleId="FollowedHyperlink">
    <w:name w:val="FollowedHyperlink"/>
    <w:basedOn w:val="Hyperlink"/>
    <w:rsid w:val="00211AED"/>
    <w:rPr>
      <w:color w:val="808080"/>
      <w:u w:val="single"/>
    </w:rPr>
  </w:style>
  <w:style w:type="character" w:styleId="Hyperlink">
    <w:name w:val="Hyperlink"/>
    <w:basedOn w:val="DefaultParagraphFont"/>
    <w:uiPriority w:val="99"/>
    <w:rsid w:val="00211AED"/>
    <w:rPr>
      <w:color w:val="808080"/>
      <w:u w:val="single"/>
    </w:rPr>
  </w:style>
  <w:style w:type="character" w:customStyle="1" w:styleId="Heading1Char">
    <w:name w:val="Heading 1 Char"/>
    <w:basedOn w:val="DefaultParagraphFont"/>
    <w:link w:val="Heading1"/>
    <w:rsid w:val="00DA50D2"/>
    <w:rPr>
      <w:rFonts w:ascii="Arial" w:eastAsia="Times New Roman" w:hAnsi="Arial" w:cs="Times New Roman"/>
      <w:b/>
      <w:bCs/>
      <w:sz w:val="28"/>
      <w:szCs w:val="28"/>
      <w:lang w:bidi="en-US"/>
    </w:rPr>
  </w:style>
  <w:style w:type="paragraph" w:customStyle="1" w:styleId="Heading1-NumberedRED">
    <w:name w:val="Heading 1 - Numbered RED"/>
    <w:qFormat/>
    <w:rsid w:val="00CB28AB"/>
    <w:pPr>
      <w:numPr>
        <w:numId w:val="43"/>
      </w:numPr>
      <w:spacing w:before="114" w:after="170" w:line="240" w:lineRule="auto"/>
      <w:ind w:left="567" w:hanging="567"/>
    </w:pPr>
    <w:rPr>
      <w:rFonts w:ascii="Arial" w:eastAsiaTheme="majorEastAsia" w:hAnsi="Arial" w:cstheme="majorBidi"/>
      <w:b/>
      <w:bCs/>
      <w:color w:val="D64B46"/>
      <w:sz w:val="28"/>
      <w:szCs w:val="28"/>
      <w:lang w:bidi="en-US"/>
    </w:rPr>
  </w:style>
  <w:style w:type="paragraph" w:customStyle="1" w:styleId="Heading1Red">
    <w:name w:val="Heading 1 Red"/>
    <w:basedOn w:val="Heading1"/>
    <w:qFormat/>
    <w:rsid w:val="00B61FF7"/>
    <w:rPr>
      <w:rFonts w:eastAsiaTheme="majorEastAsia" w:cstheme="majorBidi"/>
      <w:color w:val="D64B46"/>
      <w:lang w:val="en-US"/>
    </w:rPr>
  </w:style>
  <w:style w:type="paragraph" w:customStyle="1" w:styleId="Heading1-Numbered">
    <w:name w:val="Heading 1 - Numbered"/>
    <w:basedOn w:val="Heading1-NumberedRED"/>
    <w:qFormat/>
    <w:rsid w:val="00DA50D2"/>
    <w:pPr>
      <w:numPr>
        <w:ilvl w:val="6"/>
        <w:numId w:val="5"/>
      </w:numPr>
    </w:pPr>
    <w:rPr>
      <w:color w:val="auto"/>
    </w:rPr>
  </w:style>
  <w:style w:type="paragraph" w:customStyle="1" w:styleId="Heading2-Numbered">
    <w:name w:val="Heading 2 - Numbered"/>
    <w:basedOn w:val="Heading2"/>
    <w:qFormat/>
    <w:rsid w:val="004A2599"/>
    <w:pPr>
      <w:keepNext w:val="0"/>
      <w:keepLines w:val="0"/>
      <w:numPr>
        <w:ilvl w:val="1"/>
        <w:numId w:val="43"/>
      </w:numPr>
      <w:tabs>
        <w:tab w:val="clear" w:pos="1134"/>
      </w:tabs>
    </w:pPr>
    <w:rPr>
      <w:rFonts w:eastAsia="Times New Roman" w:cs="Times New Roman"/>
      <w:bCs/>
      <w:lang w:bidi="en-US"/>
    </w:rPr>
  </w:style>
  <w:style w:type="character" w:customStyle="1" w:styleId="Heading2Char">
    <w:name w:val="Heading 2 Char"/>
    <w:basedOn w:val="DefaultParagraphFont"/>
    <w:link w:val="Heading2"/>
    <w:rsid w:val="004A2599"/>
    <w:rPr>
      <w:rFonts w:ascii="Arial" w:eastAsiaTheme="majorEastAsia" w:hAnsi="Arial" w:cstheme="majorBidi"/>
      <w:b/>
      <w:sz w:val="24"/>
      <w:szCs w:val="26"/>
    </w:rPr>
  </w:style>
  <w:style w:type="paragraph" w:customStyle="1" w:styleId="Heading2-Rightaligned">
    <w:name w:val="Heading 2 - Right aligned"/>
    <w:basedOn w:val="Heading2"/>
    <w:rsid w:val="00DA50D2"/>
    <w:pPr>
      <w:keepLines w:val="0"/>
      <w:jc w:val="right"/>
    </w:pPr>
    <w:rPr>
      <w:rFonts w:eastAsia="Times New Roman" w:cs="Times New Roman"/>
      <w:bCs/>
      <w:szCs w:val="20"/>
      <w:lang w:bidi="en-US"/>
    </w:rPr>
  </w:style>
  <w:style w:type="paragraph" w:customStyle="1" w:styleId="Numbered">
    <w:name w:val="Numbered"/>
    <w:basedOn w:val="BodyText"/>
    <w:qFormat/>
    <w:rsid w:val="004A2599"/>
    <w:pPr>
      <w:numPr>
        <w:numId w:val="8"/>
      </w:numPr>
      <w:spacing w:before="60" w:after="60"/>
    </w:pPr>
    <w:rPr>
      <w:szCs w:val="22"/>
    </w:rPr>
  </w:style>
  <w:style w:type="paragraph" w:customStyle="1" w:styleId="Numberered-alpha">
    <w:name w:val="Numberered - alpha"/>
    <w:basedOn w:val="Numbered"/>
    <w:qFormat/>
    <w:rsid w:val="004A2599"/>
    <w:pPr>
      <w:numPr>
        <w:ilvl w:val="1"/>
      </w:numPr>
    </w:pPr>
  </w:style>
  <w:style w:type="paragraph" w:customStyle="1" w:styleId="Numbered-iRoman">
    <w:name w:val="Numbered - i) Roman"/>
    <w:basedOn w:val="Numberered-alpha"/>
    <w:unhideWhenUsed/>
    <w:qFormat/>
    <w:rsid w:val="004A2599"/>
    <w:pPr>
      <w:numPr>
        <w:ilvl w:val="2"/>
      </w:numPr>
    </w:pPr>
  </w:style>
  <w:style w:type="character" w:customStyle="1" w:styleId="Italic">
    <w:name w:val="Italic"/>
    <w:basedOn w:val="DefaultParagraphFont"/>
    <w:qFormat/>
    <w:rsid w:val="00211AED"/>
    <w:rPr>
      <w:i/>
      <w:iCs/>
    </w:rPr>
  </w:style>
  <w:style w:type="paragraph" w:customStyle="1" w:styleId="Referencebox">
    <w:name w:val="Reference box"/>
    <w:basedOn w:val="Normal"/>
    <w:rsid w:val="00FC018B"/>
    <w:pPr>
      <w:tabs>
        <w:tab w:val="left" w:pos="993"/>
      </w:tabs>
      <w:spacing w:before="60" w:after="60" w:line="240" w:lineRule="atLeast"/>
    </w:pPr>
    <w:rPr>
      <w:rFonts w:cs="Arial"/>
      <w:sz w:val="16"/>
    </w:rPr>
  </w:style>
  <w:style w:type="paragraph" w:styleId="Quote">
    <w:name w:val="Quote"/>
    <w:basedOn w:val="BodyText"/>
    <w:link w:val="QuoteChar"/>
    <w:qFormat/>
    <w:rsid w:val="00FE68AA"/>
    <w:pPr>
      <w:ind w:left="567" w:right="851"/>
    </w:pPr>
    <w:rPr>
      <w:iCs/>
    </w:rPr>
  </w:style>
  <w:style w:type="character" w:customStyle="1" w:styleId="QuoteChar">
    <w:name w:val="Quote Char"/>
    <w:basedOn w:val="DefaultParagraphFont"/>
    <w:link w:val="Quote"/>
    <w:rsid w:val="00FE68AA"/>
    <w:rPr>
      <w:rFonts w:ascii="Arial" w:eastAsia="Calibri" w:hAnsi="Arial" w:cs="Times New Roman"/>
      <w:iCs/>
      <w:sz w:val="20"/>
      <w:szCs w:val="20"/>
    </w:rPr>
  </w:style>
  <w:style w:type="paragraph" w:customStyle="1" w:styleId="SingleLineText-Half">
    <w:name w:val="Single Line Text - Half"/>
    <w:basedOn w:val="Normal"/>
    <w:qFormat/>
    <w:rsid w:val="00FE68AA"/>
    <w:rPr>
      <w:sz w:val="12"/>
    </w:rPr>
  </w:style>
  <w:style w:type="paragraph" w:customStyle="1" w:styleId="Source">
    <w:name w:val="Source"/>
    <w:basedOn w:val="Normal"/>
    <w:qFormat/>
    <w:rsid w:val="00FE68AA"/>
    <w:pPr>
      <w:spacing w:before="60" w:line="150" w:lineRule="atLeast"/>
    </w:pPr>
    <w:rPr>
      <w:sz w:val="13"/>
    </w:rPr>
  </w:style>
  <w:style w:type="paragraph" w:customStyle="1" w:styleId="TableNote-2">
    <w:name w:val="TableNote - #"/>
    <w:basedOn w:val="Normal"/>
    <w:qFormat/>
    <w:rsid w:val="00FE68AA"/>
    <w:pPr>
      <w:numPr>
        <w:ilvl w:val="4"/>
        <w:numId w:val="9"/>
      </w:numPr>
      <w:spacing w:before="57" w:after="28" w:line="180" w:lineRule="atLeast"/>
    </w:pPr>
    <w:rPr>
      <w:sz w:val="13"/>
    </w:rPr>
  </w:style>
  <w:style w:type="paragraph" w:customStyle="1" w:styleId="TableNote-">
    <w:name w:val="TableNote - ^"/>
    <w:basedOn w:val="Normal"/>
    <w:qFormat/>
    <w:rsid w:val="00FE68AA"/>
    <w:pPr>
      <w:numPr>
        <w:numId w:val="9"/>
      </w:numPr>
      <w:spacing w:before="57" w:after="28" w:line="180" w:lineRule="atLeast"/>
      <w:ind w:left="357" w:hanging="357"/>
    </w:pPr>
    <w:rPr>
      <w:sz w:val="13"/>
    </w:rPr>
  </w:style>
  <w:style w:type="paragraph" w:customStyle="1" w:styleId="TableNote-0">
    <w:name w:val="TableNote - &lt;"/>
    <w:basedOn w:val="Normal"/>
    <w:qFormat/>
    <w:rsid w:val="00FE68AA"/>
    <w:pPr>
      <w:numPr>
        <w:ilvl w:val="1"/>
        <w:numId w:val="9"/>
      </w:numPr>
      <w:spacing w:before="57" w:after="28" w:line="180" w:lineRule="atLeast"/>
    </w:pPr>
    <w:rPr>
      <w:sz w:val="13"/>
    </w:rPr>
  </w:style>
  <w:style w:type="paragraph" w:customStyle="1" w:styleId="TableNote-1">
    <w:name w:val="TableNote - &gt;"/>
    <w:basedOn w:val="Normal"/>
    <w:qFormat/>
    <w:rsid w:val="00FE68AA"/>
    <w:pPr>
      <w:numPr>
        <w:ilvl w:val="2"/>
        <w:numId w:val="9"/>
      </w:numPr>
      <w:spacing w:before="57" w:after="28" w:line="180" w:lineRule="atLeast"/>
    </w:pPr>
    <w:rPr>
      <w:sz w:val="13"/>
    </w:rPr>
  </w:style>
  <w:style w:type="paragraph" w:customStyle="1" w:styleId="TableNote-v">
    <w:name w:val="TableNote - v"/>
    <w:basedOn w:val="Normal"/>
    <w:qFormat/>
    <w:rsid w:val="00FE68AA"/>
    <w:pPr>
      <w:numPr>
        <w:ilvl w:val="3"/>
        <w:numId w:val="9"/>
      </w:numPr>
      <w:spacing w:before="57" w:after="28" w:line="180" w:lineRule="atLeast"/>
    </w:pPr>
    <w:rPr>
      <w:sz w:val="13"/>
    </w:rPr>
  </w:style>
  <w:style w:type="paragraph" w:customStyle="1" w:styleId="Tablebullet">
    <w:name w:val="Table bullet"/>
    <w:qFormat/>
    <w:rsid w:val="00FE68AA"/>
    <w:pPr>
      <w:numPr>
        <w:numId w:val="11"/>
      </w:numPr>
      <w:spacing w:before="60" w:after="60" w:line="240" w:lineRule="atLeast"/>
    </w:pPr>
    <w:rPr>
      <w:rFonts w:ascii="Arial" w:eastAsia="Times New Roman" w:hAnsi="Arial" w:cs="Times New Roman"/>
      <w:sz w:val="18"/>
      <w:szCs w:val="18"/>
      <w:lang w:bidi="en-US"/>
    </w:rPr>
  </w:style>
  <w:style w:type="paragraph" w:customStyle="1" w:styleId="Tabletext">
    <w:name w:val="Table text"/>
    <w:basedOn w:val="Normal"/>
    <w:qFormat/>
    <w:rsid w:val="00FE68AA"/>
    <w:pPr>
      <w:spacing w:before="60" w:after="60" w:line="240" w:lineRule="atLeast"/>
    </w:pPr>
    <w:rPr>
      <w:sz w:val="18"/>
    </w:rPr>
  </w:style>
  <w:style w:type="paragraph" w:customStyle="1" w:styleId="Tableheading-centred">
    <w:name w:val="Table heading - centred"/>
    <w:basedOn w:val="Normal"/>
    <w:qFormat/>
    <w:rsid w:val="00970EDD"/>
    <w:pPr>
      <w:spacing w:before="60" w:after="60" w:line="240" w:lineRule="atLeast"/>
      <w:jc w:val="center"/>
    </w:pPr>
    <w:rPr>
      <w:b/>
      <w:sz w:val="18"/>
      <w:lang w:eastAsia="en-AU"/>
    </w:rPr>
  </w:style>
  <w:style w:type="paragraph" w:customStyle="1" w:styleId="Tablebullet-2ndlevel">
    <w:name w:val="Table bullet - 2nd level"/>
    <w:basedOn w:val="Tablebullet"/>
    <w:qFormat/>
    <w:rsid w:val="00FE68AA"/>
    <w:pPr>
      <w:numPr>
        <w:ilvl w:val="1"/>
      </w:numPr>
    </w:pPr>
  </w:style>
  <w:style w:type="paragraph" w:customStyle="1" w:styleId="Tableheading-leftaligned">
    <w:name w:val="Table heading - left aligned"/>
    <w:rsid w:val="00FE68AA"/>
    <w:pPr>
      <w:spacing w:before="60" w:after="60" w:line="240" w:lineRule="atLeast"/>
    </w:pPr>
    <w:rPr>
      <w:rFonts w:ascii="Arial" w:eastAsia="Times New Roman" w:hAnsi="Arial" w:cs="Times New Roman"/>
      <w:b/>
      <w:bCs/>
      <w:sz w:val="18"/>
      <w:szCs w:val="20"/>
      <w:lang w:eastAsia="en-AU"/>
    </w:rPr>
  </w:style>
  <w:style w:type="paragraph" w:customStyle="1" w:styleId="TableNote2">
    <w:name w:val="TableNote"/>
    <w:basedOn w:val="Normal"/>
    <w:qFormat/>
    <w:rsid w:val="00FE68AA"/>
    <w:pPr>
      <w:spacing w:before="57" w:after="28" w:line="180" w:lineRule="atLeast"/>
    </w:pPr>
    <w:rPr>
      <w:sz w:val="13"/>
    </w:rPr>
  </w:style>
  <w:style w:type="paragraph" w:customStyle="1" w:styleId="TableNote-Alpha">
    <w:name w:val="TableNote - Alpha"/>
    <w:basedOn w:val="TableNote2"/>
    <w:qFormat/>
    <w:rsid w:val="00FE68AA"/>
    <w:pPr>
      <w:numPr>
        <w:numId w:val="12"/>
      </w:numPr>
      <w:ind w:left="357" w:hanging="357"/>
    </w:pPr>
  </w:style>
  <w:style w:type="numbering" w:customStyle="1" w:styleId="CSRHeadingNumbered">
    <w:name w:val="CSR Heading Numbered"/>
    <w:uiPriority w:val="99"/>
    <w:locked/>
    <w:rsid w:val="00C80B47"/>
    <w:pPr>
      <w:numPr>
        <w:numId w:val="16"/>
      </w:numPr>
    </w:pPr>
  </w:style>
  <w:style w:type="paragraph" w:customStyle="1" w:styleId="TableNote-FTE">
    <w:name w:val="TableNote - FTE:"/>
    <w:basedOn w:val="TableNote2"/>
    <w:qFormat/>
    <w:rsid w:val="00FE68AA"/>
    <w:pPr>
      <w:numPr>
        <w:ilvl w:val="7"/>
        <w:numId w:val="15"/>
      </w:numPr>
      <w:ind w:left="357" w:hanging="357"/>
    </w:pPr>
  </w:style>
  <w:style w:type="paragraph" w:customStyle="1" w:styleId="TableNote-High">
    <w:name w:val="TableNote - High"/>
    <w:basedOn w:val="TableNote2"/>
    <w:qFormat/>
    <w:rsid w:val="00FE68AA"/>
    <w:pPr>
      <w:numPr>
        <w:numId w:val="15"/>
      </w:numPr>
      <w:ind w:left="357" w:hanging="357"/>
    </w:pPr>
  </w:style>
  <w:style w:type="paragraph" w:customStyle="1" w:styleId="TableNote-Key">
    <w:name w:val="TableNote - Key:"/>
    <w:basedOn w:val="TableNote2"/>
    <w:qFormat/>
    <w:rsid w:val="00FE68AA"/>
    <w:pPr>
      <w:numPr>
        <w:ilvl w:val="8"/>
        <w:numId w:val="15"/>
      </w:numPr>
      <w:tabs>
        <w:tab w:val="clear" w:pos="5103"/>
      </w:tabs>
      <w:ind w:left="357" w:hanging="357"/>
    </w:pPr>
  </w:style>
  <w:style w:type="paragraph" w:customStyle="1" w:styleId="TableNote-Low">
    <w:name w:val="TableNote - Low"/>
    <w:basedOn w:val="TableNote2"/>
    <w:qFormat/>
    <w:rsid w:val="00FE68AA"/>
    <w:pPr>
      <w:numPr>
        <w:ilvl w:val="1"/>
        <w:numId w:val="15"/>
      </w:numPr>
      <w:ind w:left="357" w:hanging="357"/>
    </w:pPr>
  </w:style>
  <w:style w:type="paragraph" w:customStyle="1" w:styleId="TableNote-NA">
    <w:name w:val="TableNote - N/A"/>
    <w:basedOn w:val="TableNote2"/>
    <w:qFormat/>
    <w:rsid w:val="00FE68AA"/>
    <w:pPr>
      <w:numPr>
        <w:ilvl w:val="2"/>
        <w:numId w:val="15"/>
      </w:numPr>
      <w:ind w:left="357" w:hanging="357"/>
    </w:pPr>
  </w:style>
  <w:style w:type="paragraph" w:customStyle="1" w:styleId="TableNote-na0">
    <w:name w:val="TableNote - na"/>
    <w:basedOn w:val="TableNote2"/>
    <w:qFormat/>
    <w:rsid w:val="00FE68AA"/>
    <w:pPr>
      <w:numPr>
        <w:ilvl w:val="3"/>
        <w:numId w:val="15"/>
      </w:numPr>
      <w:ind w:left="357" w:hanging="357"/>
    </w:pPr>
  </w:style>
  <w:style w:type="paragraph" w:customStyle="1" w:styleId="TableNote-Num">
    <w:name w:val="TableNote - Num"/>
    <w:basedOn w:val="TableNote2"/>
    <w:qFormat/>
    <w:rsid w:val="00FE68AA"/>
    <w:pPr>
      <w:numPr>
        <w:numId w:val="14"/>
      </w:numPr>
      <w:ind w:left="357" w:hanging="357"/>
    </w:pPr>
  </w:style>
  <w:style w:type="paragraph" w:customStyle="1" w:styleId="TableNote">
    <w:name w:val="TableNote *"/>
    <w:basedOn w:val="TableNote2"/>
    <w:qFormat/>
    <w:rsid w:val="00FE68AA"/>
    <w:pPr>
      <w:numPr>
        <w:ilvl w:val="4"/>
        <w:numId w:val="15"/>
      </w:numPr>
      <w:ind w:left="357" w:hanging="357"/>
    </w:pPr>
  </w:style>
  <w:style w:type="paragraph" w:customStyle="1" w:styleId="TableNote0">
    <w:name w:val="TableNote **"/>
    <w:basedOn w:val="TableNote2"/>
    <w:qFormat/>
    <w:rsid w:val="00FE68AA"/>
    <w:pPr>
      <w:numPr>
        <w:ilvl w:val="5"/>
        <w:numId w:val="15"/>
      </w:numPr>
      <w:ind w:left="357" w:hanging="357"/>
    </w:pPr>
  </w:style>
  <w:style w:type="paragraph" w:customStyle="1" w:styleId="TableNote1">
    <w:name w:val="TableNote ***"/>
    <w:basedOn w:val="TableNote2"/>
    <w:qFormat/>
    <w:rsid w:val="00FE68AA"/>
    <w:pPr>
      <w:numPr>
        <w:ilvl w:val="6"/>
        <w:numId w:val="15"/>
      </w:numPr>
      <w:ind w:left="357" w:hanging="357"/>
    </w:pPr>
  </w:style>
  <w:style w:type="paragraph" w:styleId="TOC2">
    <w:name w:val="toc 2"/>
    <w:basedOn w:val="Normal"/>
    <w:next w:val="Normal"/>
    <w:autoRedefine/>
    <w:uiPriority w:val="39"/>
    <w:rsid w:val="006E188C"/>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uiPriority w:val="39"/>
    <w:rsid w:val="006E188C"/>
    <w:pPr>
      <w:tabs>
        <w:tab w:val="right" w:pos="8505"/>
      </w:tabs>
      <w:spacing w:before="120" w:after="120" w:line="240" w:lineRule="atLeast"/>
      <w:ind w:left="567" w:right="851"/>
    </w:pPr>
    <w:rPr>
      <w:rFonts w:eastAsiaTheme="majorEastAsia" w:cs="Arial"/>
      <w:b/>
      <w:noProof/>
      <w:szCs w:val="20"/>
    </w:rPr>
  </w:style>
  <w:style w:type="paragraph" w:styleId="TOC3">
    <w:name w:val="toc 3"/>
    <w:basedOn w:val="Normal"/>
    <w:next w:val="Normal"/>
    <w:autoRedefine/>
    <w:rsid w:val="006E188C"/>
    <w:pPr>
      <w:tabs>
        <w:tab w:val="right" w:pos="8505"/>
      </w:tabs>
      <w:spacing w:before="120" w:after="120" w:line="240" w:lineRule="atLeast"/>
      <w:ind w:left="1134" w:right="851"/>
    </w:pPr>
    <w:rPr>
      <w:rFonts w:eastAsiaTheme="majorEastAsia" w:cstheme="majorBidi"/>
      <w:noProof/>
    </w:rPr>
  </w:style>
  <w:style w:type="numbering" w:customStyle="1" w:styleId="Documentformatting">
    <w:name w:val="Document formatting"/>
    <w:uiPriority w:val="99"/>
    <w:locked/>
    <w:rsid w:val="00C80B47"/>
    <w:pPr>
      <w:numPr>
        <w:numId w:val="17"/>
      </w:numPr>
    </w:pPr>
  </w:style>
  <w:style w:type="numbering" w:customStyle="1" w:styleId="Style1">
    <w:name w:val="Style1"/>
    <w:uiPriority w:val="99"/>
    <w:locked/>
    <w:rsid w:val="00C80B47"/>
    <w:pPr>
      <w:numPr>
        <w:numId w:val="18"/>
      </w:numPr>
    </w:pPr>
  </w:style>
  <w:style w:type="paragraph" w:styleId="Header">
    <w:name w:val="header"/>
    <w:basedOn w:val="Normal"/>
    <w:link w:val="HeaderChar"/>
    <w:semiHidden/>
    <w:locked/>
    <w:rsid w:val="00F7334E"/>
    <w:pPr>
      <w:tabs>
        <w:tab w:val="center" w:pos="4513"/>
        <w:tab w:val="right" w:pos="9026"/>
      </w:tabs>
    </w:pPr>
  </w:style>
  <w:style w:type="character" w:customStyle="1" w:styleId="HeaderChar">
    <w:name w:val="Header Char"/>
    <w:basedOn w:val="DefaultParagraphFont"/>
    <w:link w:val="Header"/>
    <w:semiHidden/>
    <w:rsid w:val="00F7334E"/>
    <w:rPr>
      <w:rFonts w:ascii="Arial" w:eastAsia="Calibri" w:hAnsi="Arial" w:cs="Times New Roman"/>
      <w:sz w:val="20"/>
    </w:rPr>
  </w:style>
  <w:style w:type="paragraph" w:styleId="Footer">
    <w:name w:val="footer"/>
    <w:basedOn w:val="Normal"/>
    <w:link w:val="FooterChar"/>
    <w:uiPriority w:val="99"/>
    <w:semiHidden/>
    <w:locked/>
    <w:rsid w:val="00F7334E"/>
    <w:pPr>
      <w:tabs>
        <w:tab w:val="center" w:pos="4513"/>
        <w:tab w:val="right" w:pos="9026"/>
      </w:tabs>
    </w:pPr>
  </w:style>
  <w:style w:type="character" w:customStyle="1" w:styleId="FooterChar">
    <w:name w:val="Footer Char"/>
    <w:basedOn w:val="DefaultParagraphFont"/>
    <w:link w:val="Footer"/>
    <w:uiPriority w:val="99"/>
    <w:semiHidden/>
    <w:rsid w:val="00F7334E"/>
    <w:rPr>
      <w:rFonts w:ascii="Arial" w:eastAsia="Calibri" w:hAnsi="Arial" w:cs="Times New Roman"/>
      <w:sz w:val="20"/>
    </w:rPr>
  </w:style>
  <w:style w:type="paragraph" w:customStyle="1" w:styleId="Tabletext-rightaligned">
    <w:name w:val="Table text - right aligned"/>
    <w:basedOn w:val="Tabletext"/>
    <w:qFormat/>
    <w:rsid w:val="00970EDD"/>
    <w:pPr>
      <w:jc w:val="right"/>
    </w:pPr>
    <w:rPr>
      <w:szCs w:val="20"/>
      <w:lang w:eastAsia="en-AU"/>
    </w:rPr>
  </w:style>
  <w:style w:type="paragraph" w:customStyle="1" w:styleId="Tabletext-centred">
    <w:name w:val="Table text - centred"/>
    <w:basedOn w:val="Tabletext"/>
    <w:qFormat/>
    <w:rsid w:val="00970EDD"/>
    <w:pPr>
      <w:jc w:val="center"/>
    </w:pPr>
    <w:rPr>
      <w:szCs w:val="20"/>
      <w:lang w:eastAsia="en-AU"/>
    </w:rPr>
  </w:style>
  <w:style w:type="character" w:styleId="CommentReference">
    <w:name w:val="annotation reference"/>
    <w:basedOn w:val="DefaultParagraphFont"/>
    <w:uiPriority w:val="99"/>
    <w:semiHidden/>
    <w:locked/>
    <w:rsid w:val="00970EDD"/>
    <w:rPr>
      <w:sz w:val="16"/>
      <w:szCs w:val="16"/>
    </w:rPr>
  </w:style>
  <w:style w:type="paragraph" w:styleId="CommentText">
    <w:name w:val="annotation text"/>
    <w:basedOn w:val="Normal"/>
    <w:link w:val="CommentTextChar"/>
    <w:uiPriority w:val="99"/>
    <w:semiHidden/>
    <w:locked/>
    <w:rsid w:val="00970EDD"/>
    <w:rPr>
      <w:szCs w:val="20"/>
    </w:rPr>
  </w:style>
  <w:style w:type="character" w:customStyle="1" w:styleId="CommentTextChar">
    <w:name w:val="Comment Text Char"/>
    <w:basedOn w:val="DefaultParagraphFont"/>
    <w:link w:val="CommentText"/>
    <w:uiPriority w:val="99"/>
    <w:semiHidden/>
    <w:rsid w:val="00970ED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locked/>
    <w:rsid w:val="00970EDD"/>
    <w:rPr>
      <w:b/>
      <w:bCs/>
    </w:rPr>
  </w:style>
  <w:style w:type="character" w:customStyle="1" w:styleId="CommentSubjectChar">
    <w:name w:val="Comment Subject Char"/>
    <w:basedOn w:val="CommentTextChar"/>
    <w:link w:val="CommentSubject"/>
    <w:uiPriority w:val="99"/>
    <w:semiHidden/>
    <w:rsid w:val="00970EDD"/>
    <w:rPr>
      <w:rFonts w:ascii="Arial" w:eastAsia="Calibri" w:hAnsi="Arial" w:cs="Times New Roman"/>
      <w:b/>
      <w:bCs/>
      <w:sz w:val="20"/>
      <w:szCs w:val="20"/>
    </w:rPr>
  </w:style>
  <w:style w:type="paragraph" w:styleId="BalloonText">
    <w:name w:val="Balloon Text"/>
    <w:basedOn w:val="Normal"/>
    <w:link w:val="BalloonTextChar"/>
    <w:uiPriority w:val="99"/>
    <w:semiHidden/>
    <w:locked/>
    <w:rsid w:val="0097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33"/>
    <w:rPr>
      <w:rFonts w:ascii="Segoe UI" w:eastAsia="Calibri" w:hAnsi="Segoe UI" w:cs="Segoe UI"/>
      <w:sz w:val="18"/>
      <w:szCs w:val="18"/>
    </w:rPr>
  </w:style>
  <w:style w:type="character" w:customStyle="1" w:styleId="Tabletext-red">
    <w:name w:val="Table text - red"/>
    <w:basedOn w:val="DefaultParagraphFont"/>
    <w:qFormat/>
    <w:rsid w:val="00B61FF7"/>
    <w:rPr>
      <w:rFonts w:ascii="Arial" w:hAnsi="Arial"/>
      <w:b/>
      <w:color w:val="D64B46"/>
      <w:sz w:val="18"/>
    </w:rPr>
  </w:style>
  <w:style w:type="paragraph" w:customStyle="1" w:styleId="Tableheading-rightaligned">
    <w:name w:val="Table heading - right aligned"/>
    <w:basedOn w:val="Normal"/>
    <w:qFormat/>
    <w:rsid w:val="00970EDD"/>
    <w:pPr>
      <w:keepNext/>
      <w:spacing w:before="60" w:after="60" w:line="240" w:lineRule="atLeast"/>
      <w:jc w:val="right"/>
    </w:pPr>
    <w:rPr>
      <w:rFonts w:eastAsia="Times New Roman"/>
      <w:b/>
      <w:bCs/>
      <w:sz w:val="18"/>
      <w:szCs w:val="20"/>
    </w:rPr>
  </w:style>
  <w:style w:type="paragraph" w:customStyle="1" w:styleId="Numberedbullet1stlevel">
    <w:name w:val="Numbered bullet 1st level"/>
    <w:basedOn w:val="BodyText"/>
    <w:qFormat/>
    <w:rsid w:val="001B7377"/>
    <w:pPr>
      <w:numPr>
        <w:ilvl w:val="1"/>
        <w:numId w:val="44"/>
      </w:numPr>
      <w:spacing w:before="60" w:after="60"/>
      <w:ind w:left="1134"/>
    </w:pPr>
    <w:rPr>
      <w:lang w:eastAsia="en-AU"/>
    </w:rPr>
  </w:style>
  <w:style w:type="paragraph" w:customStyle="1" w:styleId="Numberedbullet2ndlevel">
    <w:name w:val="Numbered bullet 2nd level"/>
    <w:basedOn w:val="BodyText"/>
    <w:qFormat/>
    <w:rsid w:val="001B7377"/>
    <w:pPr>
      <w:numPr>
        <w:ilvl w:val="2"/>
        <w:numId w:val="44"/>
      </w:numPr>
      <w:spacing w:before="60" w:after="60"/>
      <w:ind w:left="1701"/>
    </w:pPr>
    <w:rPr>
      <w:lang w:eastAsia="en-AU"/>
    </w:rPr>
  </w:style>
  <w:style w:type="table" w:styleId="TableGrid">
    <w:name w:val="Table Grid"/>
    <w:basedOn w:val="TableNormal"/>
    <w:uiPriority w:val="59"/>
    <w:locked/>
    <w:rsid w:val="00601580"/>
    <w:pPr>
      <w:spacing w:after="0" w:line="240" w:lineRule="auto"/>
    </w:pPr>
    <w:rPr>
      <w:rFonts w:ascii="Arial" w:eastAsia="Calibri"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umbered">
    <w:name w:val="Table numbered"/>
    <w:basedOn w:val="Tabletext"/>
    <w:qFormat/>
    <w:rsid w:val="00601580"/>
    <w:pPr>
      <w:numPr>
        <w:numId w:val="45"/>
      </w:numPr>
    </w:pPr>
    <w:rPr>
      <w:szCs w:val="20"/>
      <w:lang w:eastAsia="en-AU"/>
    </w:rPr>
  </w:style>
  <w:style w:type="paragraph" w:customStyle="1" w:styleId="Tablenumberedbullet1stlevel">
    <w:name w:val="Table numbered bullet 1st level"/>
    <w:basedOn w:val="Tablenumbered"/>
    <w:qFormat/>
    <w:rsid w:val="00601580"/>
    <w:pPr>
      <w:numPr>
        <w:ilvl w:val="1"/>
      </w:numPr>
    </w:pPr>
  </w:style>
  <w:style w:type="paragraph" w:customStyle="1" w:styleId="Tablenumberedbullet2ndlevel">
    <w:name w:val="Table numbered bullet 2nd level"/>
    <w:basedOn w:val="Tablenumberedbullet1stlevel"/>
    <w:qFormat/>
    <w:rsid w:val="00601580"/>
    <w:pPr>
      <w:numPr>
        <w:ilvl w:val="2"/>
      </w:numPr>
    </w:pPr>
  </w:style>
  <w:style w:type="paragraph" w:customStyle="1" w:styleId="Tablenumberedalpha">
    <w:name w:val="Table numbered alpha"/>
    <w:basedOn w:val="Tablenumbered"/>
    <w:qFormat/>
    <w:rsid w:val="00601580"/>
    <w:pPr>
      <w:numPr>
        <w:ilvl w:val="1"/>
        <w:numId w:val="46"/>
      </w:numPr>
    </w:pPr>
    <w:rPr>
      <w:szCs w:val="18"/>
    </w:rPr>
  </w:style>
  <w:style w:type="paragraph" w:customStyle="1" w:styleId="Tablenumberedroman">
    <w:name w:val="Table numbered roman"/>
    <w:basedOn w:val="Tablenumberedalpha"/>
    <w:qFormat/>
    <w:rsid w:val="00601580"/>
    <w:pPr>
      <w:numPr>
        <w:ilvl w:val="2"/>
      </w:numPr>
    </w:pPr>
  </w:style>
  <w:style w:type="paragraph" w:styleId="Revision">
    <w:name w:val="Revision"/>
    <w:hidden/>
    <w:uiPriority w:val="99"/>
    <w:semiHidden/>
    <w:rsid w:val="00EA4DDE"/>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nsw.gov.au/our-stakeholders/local-government" TargetMode="External"/><Relationship Id="rId13" Type="http://schemas.openxmlformats.org/officeDocument/2006/relationships/footer" Target="footer3.xml"/><Relationship Id="rId18" Type="http://schemas.openxmlformats.org/officeDocument/2006/relationships/hyperlink" Target="https://www.olg.nsw.gov.au/councils/essential-information-and-publications/publication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lg.nsw.gov.au/sites/default/files/OLG%20-%20Financial%20Reporting%20options%20elected%20on%20transitioning%20to%20new%20Standards%20-%20Paper%20%28TAB1%29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lg.nsw.gov.au/sites/default/files/OLG%20-%20Financial%20Reporting%20options%20elected%20on%20transitioning%20to%20new%20Standards%20-%20Paper%20%28TAB1%29_0.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lg.nsw.gov.au/sites/default/files/OLG%20-%20Financial%20Reporting%20options%20elected%20on%20transitioning%20to%20new%20Standards%20-%20Paper%20%28TAB1%29_0.pdf"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lg.nsw.gov.au/sites/default/files/OLG%20-%20Financial%20Reporting%20options%20elected%20on%20transitioning%20to%20new%20Standards%20-%20Paper%20%28TAB1%29_0.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AO Theme">
  <a:themeElements>
    <a:clrScheme name="AO Brand">
      <a:dk1>
        <a:srgbClr val="3B3737"/>
      </a:dk1>
      <a:lt1>
        <a:srgbClr val="FFFFFF"/>
      </a:lt1>
      <a:dk2>
        <a:srgbClr val="393634"/>
      </a:dk2>
      <a:lt2>
        <a:srgbClr val="FFFFFF"/>
      </a:lt2>
      <a:accent1>
        <a:srgbClr val="D14340"/>
      </a:accent1>
      <a:accent2>
        <a:srgbClr val="DEB260"/>
      </a:accent2>
      <a:accent3>
        <a:srgbClr val="606481"/>
      </a:accent3>
      <a:accent4>
        <a:srgbClr val="6C4442"/>
      </a:accent4>
      <a:accent5>
        <a:srgbClr val="393634"/>
      </a:accent5>
      <a:accent6>
        <a:srgbClr val="F4F4F4"/>
      </a:accent6>
      <a:hlink>
        <a:srgbClr val="393634"/>
      </a:hlink>
      <a:folHlink>
        <a:srgbClr val="393634"/>
      </a:folHlink>
    </a:clrScheme>
    <a:fontScheme name="A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O Theme" id="{A7AC5A18-49C8-457A-B230-924CCDF9EA6B}" vid="{619EB897-F17A-41F0-B60A-56EF8BDDF7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4938-9B52-49BA-8796-DF21AD12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3282</Words>
  <Characters>19562</Characters>
  <Application>Microsoft Office Word</Application>
  <DocSecurity>0</DocSecurity>
  <Lines>501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Paramasivam</dc:creator>
  <cp:keywords> [SEC=UNCLASSIFIED]</cp:keywords>
  <dc:description/>
  <cp:lastModifiedBy>Hong Wee Soh</cp:lastModifiedBy>
  <cp:revision>65</cp:revision>
  <cp:lastPrinted>2019-07-08T05:36:00Z</cp:lastPrinted>
  <dcterms:created xsi:type="dcterms:W3CDTF">2019-07-25T04:27:00Z</dcterms:created>
  <dcterms:modified xsi:type="dcterms:W3CDTF">2019-12-02T23:14:00Z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 Only</vt:lpwstr>
  </property>
  <property fmtid="{D5CDD505-2E9C-101B-9397-08002B2CF9AE}" pid="4" name="PM_Caveats_Count">
    <vt:lpwstr>0</vt:lpwstr>
  </property>
  <property fmtid="{D5CDD505-2E9C-101B-9397-08002B2CF9AE}" pid="5" name="PM_Originator_Hash_SHA1">
    <vt:lpwstr>2D29CC496F8914F7F8C8AEFD63F173B8CD91F0F7</vt:lpwstr>
  </property>
  <property fmtid="{D5CDD505-2E9C-101B-9397-08002B2CF9AE}" pid="6" name="PM_SecurityClassification">
    <vt:lpwstr>UNCLASSIFIED</vt:lpwstr>
  </property>
  <property fmtid="{D5CDD505-2E9C-101B-9397-08002B2CF9AE}" pid="7" name="PM_DisplayValueSecClassificationWithQualifier">
    <vt:lpwstr>UNCLASSIFIED Only</vt:lpwstr>
  </property>
  <property fmtid="{D5CDD505-2E9C-101B-9397-08002B2CF9AE}" pid="8" name="PM_Qualifier">
    <vt:lpwstr/>
  </property>
  <property fmtid="{D5CDD505-2E9C-101B-9397-08002B2CF9AE}" pid="9" name="PM_InsertionValue">
    <vt:lpwstr> </vt:lpwstr>
  </property>
  <property fmtid="{D5CDD505-2E9C-101B-9397-08002B2CF9AE}" pid="10" name="PM_ProtectiveMarkingValue_Header">
    <vt:lpwstr>UNCLASSIFIED Only</vt:lpwstr>
  </property>
  <property fmtid="{D5CDD505-2E9C-101B-9397-08002B2CF9AE}" pid="11" name="PM_Hash_SHA1">
    <vt:lpwstr>384F99555930ACD6A6D25A4D1016258F0F9EE237</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2013.1.nsw.gov.au</vt:lpwstr>
  </property>
  <property fmtid="{D5CDD505-2E9C-101B-9397-08002B2CF9AE}" pid="15" name="PM_Version">
    <vt:lpwstr>2012.3</vt:lpwstr>
  </property>
  <property fmtid="{D5CDD505-2E9C-101B-9397-08002B2CF9AE}" pid="16" name="PM_Originating_FileId">
    <vt:lpwstr>FEEDF0F72BAB468AA0CCC9BEE9B0D729</vt:lpwstr>
  </property>
  <property fmtid="{D5CDD505-2E9C-101B-9397-08002B2CF9AE}" pid="17" name="PM_OriginationTimeStamp">
    <vt:lpwstr>2017-06-02T06:50:51Z</vt:lpwstr>
  </property>
  <property fmtid="{D5CDD505-2E9C-101B-9397-08002B2CF9AE}" pid="18" name="PM_Hash_Version">
    <vt:lpwstr>2016.1</vt:lpwstr>
  </property>
  <property fmtid="{D5CDD505-2E9C-101B-9397-08002B2CF9AE}" pid="19" name="PM_Hash_Salt_Prev">
    <vt:lpwstr>BD29B1323C16963EA5FC8CBF31248BE5</vt:lpwstr>
  </property>
  <property fmtid="{D5CDD505-2E9C-101B-9397-08002B2CF9AE}" pid="20" name="PM_Hash_Salt">
    <vt:lpwstr>D86152D602036C844E5CF9154DB9D397</vt:lpwstr>
  </property>
  <property fmtid="{D5CDD505-2E9C-101B-9397-08002B2CF9AE}" pid="21" name="PM_SecurityClassification_Prev">
    <vt:lpwstr>UNCLASSIFIED</vt:lpwstr>
  </property>
  <property fmtid="{D5CDD505-2E9C-101B-9397-08002B2CF9AE}" pid="22" name="PM_Qualifier_Prev">
    <vt:lpwstr/>
  </property>
</Properties>
</file>