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36"/>
        <w:gridCol w:w="4534"/>
      </w:tblGrid>
      <w:tr w:rsidR="00D11197" w:rsidRPr="00675794" w14:paraId="33465BC7" w14:textId="77777777" w:rsidTr="00C60F3E">
        <w:tc>
          <w:tcPr>
            <w:tcW w:w="9070" w:type="dxa"/>
            <w:gridSpan w:val="2"/>
            <w:tcBorders>
              <w:bottom w:val="single" w:sz="4" w:space="0" w:color="auto"/>
            </w:tcBorders>
            <w:shd w:val="clear" w:color="auto" w:fill="E5B8B7"/>
          </w:tcPr>
          <w:p w14:paraId="3BF14DE7" w14:textId="77777777" w:rsidR="00D11197" w:rsidRPr="00D11197" w:rsidRDefault="00D11197" w:rsidP="00D11197">
            <w:pPr>
              <w:pStyle w:val="HeadingCentred"/>
            </w:pPr>
            <w:bookmarkStart w:id="0" w:name="_GoBack"/>
            <w:bookmarkEnd w:id="0"/>
            <w:r w:rsidRPr="00675794">
              <w:t xml:space="preserve">Annual Engagement </w:t>
            </w:r>
            <w:r w:rsidRPr="00D11197">
              <w:t>Plan</w:t>
            </w:r>
          </w:p>
        </w:tc>
      </w:tr>
      <w:tr w:rsidR="00D11197" w:rsidRPr="00675794" w14:paraId="671C7DCE" w14:textId="77777777" w:rsidTr="00C60F3E">
        <w:tc>
          <w:tcPr>
            <w:tcW w:w="9070" w:type="dxa"/>
            <w:gridSpan w:val="2"/>
            <w:tcBorders>
              <w:top w:val="single" w:sz="4" w:space="0" w:color="auto"/>
            </w:tcBorders>
            <w:shd w:val="clear" w:color="auto" w:fill="D9D9D9" w:themeFill="background1" w:themeFillShade="D9"/>
          </w:tcPr>
          <w:p w14:paraId="2D3BB85C" w14:textId="0C91F479" w:rsidR="00D11197" w:rsidRPr="00D11197" w:rsidRDefault="00AA11BC" w:rsidP="00D11197">
            <w:pPr>
              <w:pStyle w:val="Tableheading-leftaligned"/>
            </w:pPr>
            <w:r>
              <w:t>Application</w:t>
            </w:r>
          </w:p>
        </w:tc>
      </w:tr>
      <w:tr w:rsidR="00D11197" w:rsidRPr="00675794" w14:paraId="4663A2CD" w14:textId="77777777" w:rsidTr="00C60F3E">
        <w:tc>
          <w:tcPr>
            <w:tcW w:w="4536" w:type="dxa"/>
            <w:shd w:val="clear" w:color="auto" w:fill="D9D9D9" w:themeFill="background1" w:themeFillShade="D9"/>
          </w:tcPr>
          <w:p w14:paraId="4B13469D" w14:textId="77777777" w:rsidR="00D11197" w:rsidRPr="00D11197" w:rsidRDefault="00D11197" w:rsidP="00D11197">
            <w:pPr>
              <w:pStyle w:val="Tableheading-leftaligned"/>
            </w:pPr>
            <w:r w:rsidRPr="00675794">
              <w:t>Type of audit and assurance work:</w:t>
            </w:r>
          </w:p>
        </w:tc>
        <w:tc>
          <w:tcPr>
            <w:tcW w:w="4534" w:type="dxa"/>
            <w:shd w:val="clear" w:color="auto" w:fill="D9D9D9" w:themeFill="background1" w:themeFillShade="D9"/>
          </w:tcPr>
          <w:p w14:paraId="3D88DBC3" w14:textId="77777777" w:rsidR="00D11197" w:rsidRPr="00D11197" w:rsidRDefault="00D11197" w:rsidP="00D11197">
            <w:pPr>
              <w:pStyle w:val="Tableheading-leftaligned"/>
            </w:pPr>
            <w:r w:rsidRPr="00675794">
              <w:t>Types of entities:</w:t>
            </w:r>
          </w:p>
        </w:tc>
      </w:tr>
      <w:tr w:rsidR="00D11197" w:rsidRPr="00675794" w14:paraId="485D5A6B" w14:textId="77777777" w:rsidTr="00C60F3E">
        <w:tc>
          <w:tcPr>
            <w:tcW w:w="4536" w:type="dxa"/>
            <w:shd w:val="clear" w:color="auto" w:fill="D9D9D9" w:themeFill="background1" w:themeFillShade="D9"/>
          </w:tcPr>
          <w:p w14:paraId="77697FF1" w14:textId="77777777" w:rsidR="00D11197" w:rsidRPr="00D11197" w:rsidRDefault="00D11197" w:rsidP="00D11197">
            <w:pPr>
              <w:pStyle w:val="Tablebullet"/>
            </w:pPr>
            <w:r w:rsidRPr="00675794">
              <w:t>These instructions apply to general purpose financial statements (GPFS) audit engagements.</w:t>
            </w:r>
          </w:p>
        </w:tc>
        <w:tc>
          <w:tcPr>
            <w:tcW w:w="4534" w:type="dxa"/>
            <w:shd w:val="clear" w:color="auto" w:fill="D9D9D9" w:themeFill="background1" w:themeFillShade="D9"/>
          </w:tcPr>
          <w:p w14:paraId="255E28DA" w14:textId="77777777" w:rsidR="00D11197" w:rsidRPr="00D11197" w:rsidRDefault="00D11197" w:rsidP="00D11197">
            <w:pPr>
              <w:pStyle w:val="Tablebullet"/>
            </w:pPr>
            <w:r w:rsidRPr="00675794">
              <w:t>departments</w:t>
            </w:r>
          </w:p>
          <w:p w14:paraId="2852070B" w14:textId="77777777" w:rsidR="00D11197" w:rsidRPr="00D11197" w:rsidRDefault="00D11197" w:rsidP="00D11197">
            <w:pPr>
              <w:pStyle w:val="Tablebullet"/>
            </w:pPr>
            <w:r w:rsidRPr="00675794">
              <w:t>statutory bodies</w:t>
            </w:r>
          </w:p>
          <w:p w14:paraId="6DE4EE49" w14:textId="7A40E5B0" w:rsidR="00D11197" w:rsidRPr="00D11197" w:rsidRDefault="00D11197" w:rsidP="00D11197">
            <w:pPr>
              <w:pStyle w:val="Tablebullet"/>
            </w:pPr>
            <w:r w:rsidRPr="00675794">
              <w:t>state</w:t>
            </w:r>
            <w:r w:rsidR="00F95062">
              <w:noBreakHyphen/>
            </w:r>
            <w:r w:rsidRPr="00D11197">
              <w:t>owned corporations</w:t>
            </w:r>
          </w:p>
          <w:p w14:paraId="029656B1" w14:textId="77777777" w:rsidR="00D11197" w:rsidRPr="00D11197" w:rsidRDefault="00D11197" w:rsidP="00D11197">
            <w:pPr>
              <w:pStyle w:val="Tablebullet"/>
            </w:pPr>
            <w:r w:rsidRPr="00675794">
              <w:t>companies</w:t>
            </w:r>
          </w:p>
          <w:p w14:paraId="5C8874A1" w14:textId="77777777" w:rsidR="00D11197" w:rsidRPr="00D11197" w:rsidRDefault="00D11197" w:rsidP="00D11197">
            <w:pPr>
              <w:pStyle w:val="Tablebullet"/>
            </w:pPr>
            <w:r w:rsidRPr="00675794">
              <w:t>universities</w:t>
            </w:r>
          </w:p>
          <w:p w14:paraId="79EF2465" w14:textId="77777777" w:rsidR="00D11197" w:rsidRPr="00D11197" w:rsidRDefault="00D11197" w:rsidP="00D11197">
            <w:pPr>
              <w:pStyle w:val="Tablebullet"/>
            </w:pPr>
            <w:r w:rsidRPr="00675794">
              <w:t xml:space="preserve">does </w:t>
            </w:r>
            <w:r w:rsidRPr="00D11197">
              <w:rPr>
                <w:rStyle w:val="Bold"/>
              </w:rPr>
              <w:t>NOT</w:t>
            </w:r>
            <w:r w:rsidRPr="00D11197">
              <w:t xml:space="preserve"> apply to local and county councils (councils) and joint organisations.</w:t>
            </w:r>
          </w:p>
          <w:p w14:paraId="66543AB7" w14:textId="77777777" w:rsidR="00D11197" w:rsidRPr="00BC25FF" w:rsidRDefault="00D11197" w:rsidP="00D11197">
            <w:pPr>
              <w:pStyle w:val="SingleLineText-Half"/>
            </w:pPr>
          </w:p>
        </w:tc>
      </w:tr>
      <w:tr w:rsidR="00D11197" w:rsidRPr="00675794" w14:paraId="03816CCA" w14:textId="77777777" w:rsidTr="00C60F3E">
        <w:tc>
          <w:tcPr>
            <w:tcW w:w="9070" w:type="dxa"/>
            <w:gridSpan w:val="2"/>
            <w:shd w:val="clear" w:color="auto" w:fill="D9D9D9" w:themeFill="background1" w:themeFillShade="D9"/>
          </w:tcPr>
          <w:p w14:paraId="40628FD7" w14:textId="77777777" w:rsidR="00D11197" w:rsidRPr="005920BA" w:rsidRDefault="00D11197" w:rsidP="00D11197">
            <w:pPr>
              <w:pStyle w:val="Tableheading-leftaligned"/>
              <w:rPr>
                <w:rStyle w:val="Bold"/>
                <w:b/>
              </w:rPr>
            </w:pPr>
            <w:r w:rsidRPr="005920BA">
              <w:rPr>
                <w:rStyle w:val="Bold"/>
                <w:b/>
              </w:rPr>
              <w:t>Instructions</w:t>
            </w:r>
          </w:p>
          <w:p w14:paraId="20350433" w14:textId="13C542DE" w:rsidR="00D11197" w:rsidRPr="00D11197" w:rsidRDefault="00D11197" w:rsidP="00D11197">
            <w:pPr>
              <w:pStyle w:val="Tableheading-leftaligned"/>
              <w:rPr>
                <w:rStyle w:val="Bold"/>
              </w:rPr>
            </w:pPr>
            <w:r w:rsidRPr="00D11197">
              <w:rPr>
                <w:rStyle w:val="Bold"/>
              </w:rPr>
              <w:t>Only use this template for engagements ending before 30</w:t>
            </w:r>
            <w:r w:rsidR="00F95062">
              <w:rPr>
                <w:rStyle w:val="Bold"/>
              </w:rPr>
              <w:t> June </w:t>
            </w:r>
            <w:r w:rsidRPr="00D11197">
              <w:rPr>
                <w:rStyle w:val="Bold"/>
              </w:rPr>
              <w:t>2020. A new template will be issued for agencies’ as their 30</w:t>
            </w:r>
            <w:r w:rsidR="00F95062">
              <w:rPr>
                <w:rStyle w:val="Bold"/>
              </w:rPr>
              <w:t> June </w:t>
            </w:r>
            <w:r w:rsidRPr="00D11197">
              <w:rPr>
                <w:rStyle w:val="Bold"/>
              </w:rPr>
              <w:t xml:space="preserve">2020 financial statement will be prepared under the </w:t>
            </w:r>
            <w:r w:rsidR="00F95062" w:rsidRPr="00F95062">
              <w:rPr>
                <w:rStyle w:val="Bold"/>
                <w:i/>
              </w:rPr>
              <w:t>Government Sector Finance Act 2018</w:t>
            </w:r>
            <w:r w:rsidRPr="00D11197">
              <w:rPr>
                <w:rStyle w:val="Bold"/>
              </w:rPr>
              <w:t>.</w:t>
            </w:r>
          </w:p>
          <w:p w14:paraId="2CEECAE1" w14:textId="77777777" w:rsidR="00D11197" w:rsidRPr="00D11197" w:rsidRDefault="00D11197" w:rsidP="00D11197">
            <w:pPr>
              <w:pStyle w:val="Tabletext"/>
            </w:pPr>
            <w:r w:rsidRPr="00675794">
              <w:t xml:space="preserve">Use this template for audits of all general purpose financial statements (GPFS) </w:t>
            </w:r>
            <w:r w:rsidRPr="00D11197">
              <w:t xml:space="preserve">except councils and joint organisations. A separate </w:t>
            </w:r>
            <w:hyperlink r:id="rId7" w:history="1">
              <w:r w:rsidRPr="00D11197">
                <w:rPr>
                  <w:rStyle w:val="Hyperlink"/>
                </w:rPr>
                <w:t>template</w:t>
              </w:r>
            </w:hyperlink>
            <w:r w:rsidRPr="00D11197">
              <w:t xml:space="preserve"> is available for councils and joint organisations.</w:t>
            </w:r>
          </w:p>
          <w:p w14:paraId="5FE9F5F9" w14:textId="6C750478" w:rsidR="00D11197" w:rsidRPr="00D11197" w:rsidRDefault="00D11197" w:rsidP="00D11197">
            <w:pPr>
              <w:pStyle w:val="Tabletext"/>
            </w:pPr>
            <w:r w:rsidRPr="00675794">
              <w:t xml:space="preserve">Issue separate engagement letters for </w:t>
            </w:r>
            <w:r w:rsidRPr="00D11197">
              <w:t>additional non</w:t>
            </w:r>
            <w:r w:rsidR="00F95062">
              <w:noBreakHyphen/>
            </w:r>
            <w:r w:rsidRPr="00D11197">
              <w:t>GPFS audits, reviews or audit</w:t>
            </w:r>
            <w:r w:rsidR="00F95062">
              <w:noBreakHyphen/>
            </w:r>
            <w:r w:rsidRPr="00D11197">
              <w:t xml:space="preserve">related services requested under section 27B(3)(c) of the </w:t>
            </w:r>
            <w:r w:rsidR="00F95062" w:rsidRPr="00F95062">
              <w:rPr>
                <w:rStyle w:val="Italic"/>
              </w:rPr>
              <w:t>Public Finance and Audit Act 1983</w:t>
            </w:r>
            <w:r w:rsidRPr="00D11197">
              <w:t xml:space="preserve"> or other Acts that are not mentioned in this Annual Engagement Plan (AEP). This AEP template is NOT suitable for those engagements.</w:t>
            </w:r>
          </w:p>
          <w:p w14:paraId="2D8E424D" w14:textId="77777777" w:rsidR="00D11197" w:rsidRPr="00D11197" w:rsidRDefault="00D11197" w:rsidP="00D11197">
            <w:pPr>
              <w:pStyle w:val="Tabletext"/>
            </w:pPr>
            <w:r w:rsidRPr="00675794">
              <w:t>Engagement Controllers (ECs)</w:t>
            </w:r>
            <w:r w:rsidRPr="00D11197">
              <w:t xml:space="preserve"> should:</w:t>
            </w:r>
          </w:p>
          <w:p w14:paraId="45924C94" w14:textId="77777777" w:rsidR="00D11197" w:rsidRPr="00D11197" w:rsidRDefault="00D11197" w:rsidP="00D11197">
            <w:pPr>
              <w:pStyle w:val="Tablebullet"/>
            </w:pPr>
            <w:r w:rsidRPr="00675794">
              <w:t xml:space="preserve">address the </w:t>
            </w:r>
            <w:r w:rsidRPr="00D11197">
              <w:t>AEP to the Chief Executive Officer (CEO) or person charged with governance (Chair, Managing Director, Secretary or Department Head)</w:t>
            </w:r>
          </w:p>
          <w:p w14:paraId="1890A3FB" w14:textId="77777777" w:rsidR="00D11197" w:rsidRPr="00D11197" w:rsidRDefault="00D11197" w:rsidP="00D11197">
            <w:pPr>
              <w:pStyle w:val="Tablebullet"/>
            </w:pPr>
            <w:r>
              <w:t xml:space="preserve">assess whether </w:t>
            </w:r>
            <w:r w:rsidRPr="00D11197">
              <w:t xml:space="preserve">an </w:t>
            </w:r>
            <w:hyperlink w:anchor="Agreement_Terms" w:history="1">
              <w:r w:rsidRPr="00D11197">
                <w:rPr>
                  <w:rStyle w:val="Hyperlink"/>
                </w:rPr>
                <w:t>Acknowledgement of Terms</w:t>
              </w:r>
            </w:hyperlink>
            <w:r w:rsidRPr="00D11197">
              <w:t xml:space="preserve"> needs to be signed</w:t>
            </w:r>
          </w:p>
          <w:p w14:paraId="7FEFA255" w14:textId="77777777" w:rsidR="00D11197" w:rsidRPr="00D11197" w:rsidRDefault="00D11197" w:rsidP="00D11197">
            <w:pPr>
              <w:pStyle w:val="Tablebullet"/>
            </w:pPr>
            <w:r w:rsidRPr="00675794">
              <w:t xml:space="preserve">tailor the </w:t>
            </w:r>
            <w:r w:rsidRPr="00D11197">
              <w:t>AEP to include matters unique to the engagement</w:t>
            </w:r>
          </w:p>
          <w:p w14:paraId="27338207" w14:textId="77777777" w:rsidR="00D11197" w:rsidRPr="00D11197" w:rsidRDefault="00D11197" w:rsidP="00D11197">
            <w:pPr>
              <w:pStyle w:val="Tablebullet"/>
            </w:pPr>
            <w:r w:rsidRPr="00675794">
              <w:t xml:space="preserve">tailor the </w:t>
            </w:r>
            <w:r w:rsidRPr="00D11197">
              <w:t>AEP for smaller auditees, as it may not be useful or cost effective to include certain content</w:t>
            </w:r>
          </w:p>
          <w:p w14:paraId="7E1016CA" w14:textId="77777777" w:rsidR="00D11197" w:rsidRPr="00D11197" w:rsidRDefault="00D11197" w:rsidP="00D11197">
            <w:pPr>
              <w:pStyle w:val="Tablebullet"/>
            </w:pPr>
            <w:r w:rsidRPr="00675794">
              <w:t>consider the structure and</w:t>
            </w:r>
            <w:r w:rsidRPr="00D11197">
              <w:t xml:space="preserve"> reporting obligations for group audits and the components, identifying controlled entities with financial statements requiring separate Independent Auditor’s Reports (IARs)</w:t>
            </w:r>
          </w:p>
          <w:p w14:paraId="4A4731D4" w14:textId="77777777" w:rsidR="00D11197" w:rsidRPr="00D11197" w:rsidRDefault="00D11197" w:rsidP="00D11197">
            <w:pPr>
              <w:pStyle w:val="Tablebullet"/>
            </w:pPr>
            <w:r w:rsidRPr="00675794">
              <w:t xml:space="preserve">discuss relevant matters with the Chief Finance Officer and document these in the </w:t>
            </w:r>
            <w:r w:rsidRPr="00D11197">
              <w:t>AEP</w:t>
            </w:r>
          </w:p>
          <w:p w14:paraId="284F61F7" w14:textId="60397304" w:rsidR="00D11197" w:rsidRPr="00D11197" w:rsidRDefault="00D11197" w:rsidP="00D11197">
            <w:pPr>
              <w:pStyle w:val="Tablebullet"/>
            </w:pPr>
            <w:r w:rsidRPr="00675794">
              <w:t xml:space="preserve">issue the </w:t>
            </w:r>
            <w:r w:rsidRPr="00D11197">
              <w:t xml:space="preserve">AEP electronically </w:t>
            </w:r>
            <w:r w:rsidR="00F95062">
              <w:noBreakHyphen/>
            </w:r>
            <w:r w:rsidRPr="00D11197">
              <w:t xml:space="preserve"> ECs can authorise Communications and Business Support (CBS) to use their electronic signature on the covering letter before converting it to a PDF</w:t>
            </w:r>
          </w:p>
          <w:p w14:paraId="086E134E" w14:textId="77777777" w:rsidR="00D11197" w:rsidRPr="00D11197" w:rsidRDefault="00D11197" w:rsidP="00D11197">
            <w:pPr>
              <w:pStyle w:val="Tablebullet"/>
            </w:pPr>
            <w:r w:rsidRPr="00675794">
              <w:t xml:space="preserve">issue a revised </w:t>
            </w:r>
            <w:r w:rsidRPr="00D11197">
              <w:t>AEP if there is a change in nature or terms of the engagement, and the change is justified</w:t>
            </w:r>
          </w:p>
          <w:p w14:paraId="01E75142" w14:textId="77777777" w:rsidR="00D11197" w:rsidRPr="00D11197" w:rsidRDefault="00D11197" w:rsidP="00D11197">
            <w:pPr>
              <w:pStyle w:val="Tablebullet"/>
            </w:pPr>
            <w:r w:rsidRPr="00675794">
              <w:t xml:space="preserve">refer to the relevant Auditing Standards (e.g. </w:t>
            </w:r>
            <w:hyperlink r:id="rId8" w:history="1">
              <w:r w:rsidRPr="00D11197">
                <w:rPr>
                  <w:rStyle w:val="Hyperlink"/>
                </w:rPr>
                <w:t>ASA 210</w:t>
              </w:r>
            </w:hyperlink>
            <w:r w:rsidRPr="00D11197">
              <w:t xml:space="preserve">, </w:t>
            </w:r>
            <w:hyperlink r:id="rId9" w:history="1">
              <w:r w:rsidRPr="00D11197">
                <w:rPr>
                  <w:rStyle w:val="Hyperlink"/>
                </w:rPr>
                <w:t>ASA 600</w:t>
              </w:r>
              <w:r w:rsidRPr="00D11197">
                <w:t>,</w:t>
              </w:r>
            </w:hyperlink>
            <w:r w:rsidRPr="00D11197">
              <w:t xml:space="preserve"> </w:t>
            </w:r>
            <w:hyperlink r:id="rId10" w:history="1">
              <w:r w:rsidRPr="00D11197">
                <w:rPr>
                  <w:rStyle w:val="Hyperlink"/>
                </w:rPr>
                <w:t>APES 305</w:t>
              </w:r>
            </w:hyperlink>
            <w:r w:rsidRPr="00D11197">
              <w:t>).</w:t>
            </w:r>
          </w:p>
          <w:p w14:paraId="2225141D" w14:textId="77777777" w:rsidR="00D11197" w:rsidRPr="00675794" w:rsidRDefault="00D11197" w:rsidP="00D11197">
            <w:pPr>
              <w:pStyle w:val="SingleLineText-Half"/>
            </w:pPr>
          </w:p>
        </w:tc>
      </w:tr>
      <w:tr w:rsidR="00D11197" w:rsidRPr="00675794" w14:paraId="33BF1217" w14:textId="77777777" w:rsidTr="00C60F3E">
        <w:tc>
          <w:tcPr>
            <w:tcW w:w="9070" w:type="dxa"/>
            <w:gridSpan w:val="2"/>
            <w:shd w:val="clear" w:color="auto" w:fill="DCE6F2"/>
          </w:tcPr>
          <w:p w14:paraId="17373A1B" w14:textId="77777777" w:rsidR="00D11197" w:rsidRPr="00D11197" w:rsidRDefault="00D11197" w:rsidP="00D11197">
            <w:pPr>
              <w:pStyle w:val="Tableheading-leftaligned"/>
            </w:pPr>
            <w:r w:rsidRPr="00C233C2">
              <w:t xml:space="preserve">Additional instructions for </w:t>
            </w:r>
            <w:r w:rsidRPr="00D11197">
              <w:t>Audit Service Providers (ASPs)</w:t>
            </w:r>
          </w:p>
          <w:p w14:paraId="3CBCE48B" w14:textId="77777777" w:rsidR="00D11197" w:rsidRPr="00D11197" w:rsidRDefault="00D11197" w:rsidP="00D11197">
            <w:pPr>
              <w:pStyle w:val="Tabletext"/>
            </w:pPr>
            <w:r w:rsidRPr="00343385">
              <w:t xml:space="preserve">This </w:t>
            </w:r>
            <w:r w:rsidRPr="00D11197">
              <w:t xml:space="preserve">AEP needs to be signed and issued in electronic format by the EC, not the Audit Service Provider (ASP) partner or staff. Before sending the AEP to the EC to review, sign and issue, the ASP should perform the actions listed above. </w:t>
            </w:r>
          </w:p>
          <w:p w14:paraId="0AA78AC7" w14:textId="77777777" w:rsidR="00D11197" w:rsidRDefault="00D11197" w:rsidP="00D11197">
            <w:pPr>
              <w:pStyle w:val="Tabletext"/>
            </w:pPr>
            <w:r>
              <w:t xml:space="preserve">The ASP should </w:t>
            </w:r>
            <w:r w:rsidRPr="00D11197">
              <w:t>prepare a revised AEP for the EC to reissue if there is a change in nature or terms of the engagement, and the change is justified.</w:t>
            </w:r>
          </w:p>
          <w:p w14:paraId="35986DF5" w14:textId="2E443B66" w:rsidR="00DB2CFA" w:rsidRPr="00D11197" w:rsidRDefault="00DB2CFA" w:rsidP="005920BA">
            <w:pPr>
              <w:pStyle w:val="SingleLineText-Half"/>
              <w:rPr>
                <w:rStyle w:val="Bold"/>
              </w:rPr>
            </w:pPr>
          </w:p>
        </w:tc>
      </w:tr>
      <w:tr w:rsidR="00D11197" w:rsidRPr="00675794" w14:paraId="1678E503" w14:textId="77777777" w:rsidTr="00C60F3E">
        <w:tc>
          <w:tcPr>
            <w:tcW w:w="9070" w:type="dxa"/>
            <w:gridSpan w:val="2"/>
            <w:shd w:val="clear" w:color="auto" w:fill="D9D9D9" w:themeFill="background1" w:themeFillShade="D9"/>
          </w:tcPr>
          <w:p w14:paraId="4425DE23" w14:textId="77777777" w:rsidR="00D11197" w:rsidRPr="00D11197" w:rsidRDefault="00D11197" w:rsidP="00D11197">
            <w:pPr>
              <w:pStyle w:val="Tableheading-leftaligned"/>
            </w:pPr>
            <w:r w:rsidRPr="006E1E63">
              <w:t>Timing, issuing and signing</w:t>
            </w:r>
          </w:p>
          <w:p w14:paraId="7BC7C020" w14:textId="16FE515F" w:rsidR="00D11197" w:rsidRPr="00D11197" w:rsidRDefault="00D11197" w:rsidP="00D11197">
            <w:pPr>
              <w:pStyle w:val="Tabletext"/>
            </w:pPr>
            <w:r w:rsidRPr="00675794">
              <w:t>ECs should aim to issue the AE</w:t>
            </w:r>
            <w:r w:rsidRPr="00D11197">
              <w:t>P six months before year end.</w:t>
            </w:r>
          </w:p>
          <w:p w14:paraId="39227C8B" w14:textId="77777777" w:rsidR="00D11197" w:rsidRPr="00D11197" w:rsidRDefault="00D11197" w:rsidP="00D11197">
            <w:pPr>
              <w:pStyle w:val="Tabletext"/>
            </w:pPr>
            <w:r w:rsidRPr="00675794">
              <w:t xml:space="preserve">ECs </w:t>
            </w:r>
            <w:r w:rsidRPr="00D11197">
              <w:t>should review, sign and issue the AEP no later than the end of:</w:t>
            </w:r>
          </w:p>
          <w:p w14:paraId="7B10B024" w14:textId="1FB93095" w:rsidR="00D11197" w:rsidRPr="00D11197" w:rsidRDefault="00D11197" w:rsidP="00D11197">
            <w:pPr>
              <w:pStyle w:val="Tablebullet"/>
            </w:pPr>
            <w:bookmarkStart w:id="1" w:name="_Hlk532556553"/>
            <w:r>
              <w:t>December </w:t>
            </w:r>
            <w:r w:rsidRPr="00D11197">
              <w:t>for 30</w:t>
            </w:r>
            <w:r w:rsidR="00F95062">
              <w:t> June </w:t>
            </w:r>
            <w:r w:rsidRPr="00D11197">
              <w:t>audits included within the scope of the Internal Controls and Governance Audito</w:t>
            </w:r>
            <w:r w:rsidR="00F1700D">
              <w:t>r</w:t>
            </w:r>
            <w:r w:rsidR="00F95062">
              <w:noBreakHyphen/>
            </w:r>
            <w:r w:rsidR="00F1700D">
              <w:t>G</w:t>
            </w:r>
            <w:r w:rsidRPr="00D11197">
              <w:t>eneral’s Report (Top 40)</w:t>
            </w:r>
          </w:p>
          <w:p w14:paraId="4A425881" w14:textId="1BF4B904" w:rsidR="00D11197" w:rsidRPr="00D11197" w:rsidRDefault="00D11197" w:rsidP="00D11197">
            <w:pPr>
              <w:pStyle w:val="Tablebullet"/>
            </w:pPr>
            <w:r>
              <w:t xml:space="preserve">February for the remaining </w:t>
            </w:r>
            <w:r w:rsidRPr="00D11197">
              <w:t>30</w:t>
            </w:r>
            <w:r w:rsidR="00F95062">
              <w:t> June </w:t>
            </w:r>
            <w:r w:rsidRPr="00D11197">
              <w:t>audits</w:t>
            </w:r>
          </w:p>
          <w:p w14:paraId="6E4A176A" w14:textId="72692D17" w:rsidR="00D11197" w:rsidRPr="00D11197" w:rsidRDefault="00D11197" w:rsidP="00D11197">
            <w:pPr>
              <w:pStyle w:val="Tablebullet"/>
            </w:pPr>
            <w:r>
              <w:t>July </w:t>
            </w:r>
            <w:r w:rsidRPr="00D11197">
              <w:t>for 31</w:t>
            </w:r>
            <w:r w:rsidR="00F95062">
              <w:t> December </w:t>
            </w:r>
            <w:r w:rsidRPr="00D11197">
              <w:t>audits (applies to 2019 engagements onwards).</w:t>
            </w:r>
          </w:p>
          <w:bookmarkEnd w:id="1"/>
          <w:p w14:paraId="2B713372" w14:textId="77777777" w:rsidR="00D11197" w:rsidRPr="00675794" w:rsidRDefault="00D11197" w:rsidP="00D11197">
            <w:pPr>
              <w:pStyle w:val="SingleLineText-Half"/>
            </w:pPr>
          </w:p>
          <w:p w14:paraId="30CF72A8" w14:textId="1D0A8B01" w:rsidR="00D11197" w:rsidRPr="00D11197" w:rsidRDefault="00D11197" w:rsidP="00D11197">
            <w:pPr>
              <w:pStyle w:val="Tabletext"/>
            </w:pPr>
            <w:r w:rsidRPr="00675794">
              <w:lastRenderedPageBreak/>
              <w:t xml:space="preserve">The EC and relevant audit team members should present the </w:t>
            </w:r>
            <w:r w:rsidRPr="00D11197">
              <w:t xml:space="preserve">AEP to the Audit and Risk Committee and/or Board of Directors. This may not be practical for smaller auditees or auditees in regional </w:t>
            </w:r>
            <w:r w:rsidR="00F95062">
              <w:t>New South Wales</w:t>
            </w:r>
            <w:r w:rsidRPr="00D11197">
              <w:t>. If meetings with these bodies are not planned for some time, the EC may consider discussing the AEP with the CEO/Chair/Managing Director/Secretary/Department Head, prior to the meeting.</w:t>
            </w:r>
          </w:p>
          <w:p w14:paraId="216E737F" w14:textId="77777777" w:rsidR="00D11197" w:rsidRPr="00D11197" w:rsidRDefault="00D11197" w:rsidP="00D11197">
            <w:pPr>
              <w:pStyle w:val="Tabletext"/>
            </w:pPr>
            <w:r w:rsidRPr="00675794">
              <w:t xml:space="preserve">The </w:t>
            </w:r>
            <w:r w:rsidRPr="00D11197">
              <w:t>auditee is not required to sign the Acknowledgement of Terms each year unless:</w:t>
            </w:r>
          </w:p>
          <w:p w14:paraId="25518829" w14:textId="77777777" w:rsidR="00D11197" w:rsidRPr="00D11197" w:rsidRDefault="00D11197" w:rsidP="00D11197">
            <w:pPr>
              <w:pStyle w:val="Tablebullet"/>
            </w:pPr>
            <w:r>
              <w:t>the</w:t>
            </w:r>
            <w:r w:rsidRPr="00D11197">
              <w:t xml:space="preserve"> engagement is new</w:t>
            </w:r>
          </w:p>
          <w:p w14:paraId="43E14923" w14:textId="388366DA" w:rsidR="00D11197" w:rsidRPr="00D11197" w:rsidRDefault="00D11197" w:rsidP="00D11197">
            <w:pPr>
              <w:pStyle w:val="Tablebullet"/>
            </w:pPr>
            <w:r w:rsidRPr="00675794">
              <w:t xml:space="preserve">the scope of the </w:t>
            </w:r>
            <w:r w:rsidRPr="00D11197">
              <w:t>engagement has changed e.g. the inclusion/exclusion of a non</w:t>
            </w:r>
            <w:r w:rsidR="00F95062">
              <w:noBreakHyphen/>
            </w:r>
            <w:r w:rsidRPr="00D11197">
              <w:t>GPFS engagement within this AEP</w:t>
            </w:r>
          </w:p>
          <w:p w14:paraId="34BF9F0E" w14:textId="77777777" w:rsidR="00D11197" w:rsidRPr="00D11197" w:rsidRDefault="00D11197" w:rsidP="00D11197">
            <w:pPr>
              <w:pStyle w:val="Tablebullet"/>
            </w:pPr>
            <w:r w:rsidRPr="00675794">
              <w:t xml:space="preserve">there is a change in </w:t>
            </w:r>
            <w:r w:rsidRPr="00D11197">
              <w:t>the key personnel of the engagement, such as the auditee head, an ARC member or the EC etc.</w:t>
            </w:r>
          </w:p>
          <w:p w14:paraId="36459FAC" w14:textId="77777777" w:rsidR="00D11197" w:rsidRDefault="00D11197" w:rsidP="00D11197">
            <w:pPr>
              <w:pStyle w:val="SingleLineText-Half"/>
            </w:pPr>
          </w:p>
          <w:p w14:paraId="280B5D2E" w14:textId="77777777" w:rsidR="00D11197" w:rsidRPr="00D11197" w:rsidRDefault="00D11197" w:rsidP="005920BA">
            <w:pPr>
              <w:pStyle w:val="Tabletext"/>
            </w:pPr>
            <w:r w:rsidRPr="00D11197">
              <w:t>The Engagement Information Request can be issued at the same time as the AEP if delivery dates have been agreed with management.</w:t>
            </w:r>
          </w:p>
          <w:p w14:paraId="5702836E" w14:textId="77777777" w:rsidR="00D11197" w:rsidRPr="00D11197" w:rsidRDefault="00D11197" w:rsidP="00D11197">
            <w:pPr>
              <w:pStyle w:val="SingleLineText-Half"/>
              <w:rPr>
                <w:rStyle w:val="Bold"/>
              </w:rPr>
            </w:pPr>
          </w:p>
        </w:tc>
      </w:tr>
      <w:tr w:rsidR="00D11197" w:rsidRPr="00675794" w14:paraId="271C9EB0" w14:textId="77777777" w:rsidTr="00C60F3E">
        <w:tc>
          <w:tcPr>
            <w:tcW w:w="9070" w:type="dxa"/>
            <w:gridSpan w:val="2"/>
            <w:shd w:val="clear" w:color="auto" w:fill="DCE6F2"/>
          </w:tcPr>
          <w:p w14:paraId="36F65398" w14:textId="77777777" w:rsidR="00D11197" w:rsidRPr="00D11197" w:rsidRDefault="00D11197" w:rsidP="00D11197">
            <w:pPr>
              <w:pStyle w:val="Tableheading-leftaligned"/>
            </w:pPr>
            <w:r w:rsidRPr="00C233C2">
              <w:lastRenderedPageBreak/>
              <w:t xml:space="preserve">Additional instructions for </w:t>
            </w:r>
            <w:r w:rsidRPr="00D11197">
              <w:t>ASPs</w:t>
            </w:r>
          </w:p>
          <w:p w14:paraId="22F1CE34" w14:textId="77777777" w:rsidR="00D11197" w:rsidRPr="00D11197" w:rsidRDefault="00D11197" w:rsidP="00D11197">
            <w:pPr>
              <w:pStyle w:val="Tabletext"/>
            </w:pPr>
            <w:r>
              <w:t xml:space="preserve">ASPs </w:t>
            </w:r>
            <w:r w:rsidRPr="00D11197">
              <w:t>should provide the draft AEP to the EC with sufficient time to allow the EC to achieve the timeframe stated above.</w:t>
            </w:r>
          </w:p>
          <w:p w14:paraId="50D5DF10" w14:textId="240D8998" w:rsidR="00D11197" w:rsidRDefault="00D11197" w:rsidP="0063146B">
            <w:pPr>
              <w:pStyle w:val="Tabletext"/>
            </w:pPr>
            <w:r>
              <w:t>The ASP and where practical t</w:t>
            </w:r>
            <w:r w:rsidRPr="00D11197">
              <w:t xml:space="preserve">he EC, should present the AEP to the Audit and Risk Committee and/or Board of Directors. This may not be practical for smaller auditees or auditees in regional </w:t>
            </w:r>
            <w:r w:rsidR="00F95062">
              <w:t>New South Wales</w:t>
            </w:r>
            <w:r w:rsidRPr="00D11197">
              <w:t>. If meetings with these bodies are not planned for some time, the EC may consider discussing the AEP with the CEO/Chair/Managing Director/Secretary/Department Head, prior to the meeting.</w:t>
            </w:r>
          </w:p>
          <w:p w14:paraId="31806E84" w14:textId="5883BC26" w:rsidR="00DB2CFA" w:rsidRPr="0063146B" w:rsidRDefault="00DB2CFA" w:rsidP="005920BA">
            <w:pPr>
              <w:pStyle w:val="SingleLineText-Half"/>
              <w:rPr>
                <w:rStyle w:val="Bold"/>
                <w:b w:val="0"/>
              </w:rPr>
            </w:pPr>
          </w:p>
        </w:tc>
      </w:tr>
      <w:tr w:rsidR="00D11197" w:rsidRPr="00675794" w14:paraId="2DCCFD75" w14:textId="77777777" w:rsidTr="005920BA">
        <w:tc>
          <w:tcPr>
            <w:tcW w:w="9070" w:type="dxa"/>
            <w:gridSpan w:val="2"/>
            <w:tcBorders>
              <w:bottom w:val="single" w:sz="4" w:space="0" w:color="000000"/>
            </w:tcBorders>
            <w:shd w:val="clear" w:color="auto" w:fill="D9D9D9" w:themeFill="background1" w:themeFillShade="D9"/>
          </w:tcPr>
          <w:p w14:paraId="10008C86" w14:textId="77777777" w:rsidR="00D11197" w:rsidRPr="00D11197" w:rsidRDefault="00D11197" w:rsidP="00D11197">
            <w:pPr>
              <w:pStyle w:val="Tableheading-leftaligned"/>
            </w:pPr>
            <w:r w:rsidRPr="00675794">
              <w:t>Group AE</w:t>
            </w:r>
            <w:r w:rsidRPr="00D11197">
              <w:t>P</w:t>
            </w:r>
          </w:p>
          <w:p w14:paraId="001BA835" w14:textId="77777777" w:rsidR="00D11197" w:rsidRPr="00D11197" w:rsidRDefault="00D11197" w:rsidP="00D11197">
            <w:pPr>
              <w:pStyle w:val="Tabletext"/>
            </w:pPr>
            <w:r w:rsidRPr="00675794">
              <w:t>The EC may, if the parent and controlled entities approve, issue one AE</w:t>
            </w:r>
            <w:r w:rsidRPr="00D11197">
              <w:t>P for the group, after considering:</w:t>
            </w:r>
          </w:p>
          <w:p w14:paraId="40109D38" w14:textId="77777777" w:rsidR="00D11197" w:rsidRPr="00D11197" w:rsidRDefault="00D11197" w:rsidP="00D11197">
            <w:pPr>
              <w:pStyle w:val="Tablebullet"/>
            </w:pPr>
            <w:r w:rsidRPr="00675794">
              <w:t xml:space="preserve">the governance and reporting arrangements for the </w:t>
            </w:r>
            <w:r w:rsidRPr="00D11197">
              <w:t>group and its components</w:t>
            </w:r>
          </w:p>
          <w:p w14:paraId="586C4E60" w14:textId="77777777" w:rsidR="00D11197" w:rsidRPr="00D11197" w:rsidRDefault="00D11197" w:rsidP="00D11197">
            <w:pPr>
              <w:pStyle w:val="Tablebullet"/>
            </w:pPr>
            <w:r w:rsidRPr="00675794">
              <w:t>legal reporting requirements, including whether separate IARs are required for individual components</w:t>
            </w:r>
          </w:p>
          <w:p w14:paraId="4E07A9B7" w14:textId="77777777" w:rsidR="00D11197" w:rsidRPr="00D11197" w:rsidRDefault="00D11197" w:rsidP="00D11197">
            <w:pPr>
              <w:pStyle w:val="Tablebullet"/>
            </w:pPr>
            <w:r w:rsidRPr="00675794">
              <w:t>legal requirements for appointment as auditor</w:t>
            </w:r>
          </w:p>
          <w:p w14:paraId="1706C074" w14:textId="77777777" w:rsidR="00D11197" w:rsidRPr="00D11197" w:rsidRDefault="00D11197" w:rsidP="00D11197">
            <w:pPr>
              <w:pStyle w:val="Tablebullet"/>
            </w:pPr>
            <w:r w:rsidRPr="00675794">
              <w:t>the structure and degree of NSW public sector ownership</w:t>
            </w:r>
          </w:p>
          <w:p w14:paraId="7911D5FD" w14:textId="77777777" w:rsidR="00D11197" w:rsidRPr="00D11197" w:rsidRDefault="00D11197" w:rsidP="00D11197">
            <w:pPr>
              <w:pStyle w:val="Tablebullet"/>
            </w:pPr>
            <w:r w:rsidRPr="00675794">
              <w:t>the component’s degree of independence from the parent entity.</w:t>
            </w:r>
          </w:p>
          <w:p w14:paraId="3C4B3F6D" w14:textId="77777777" w:rsidR="00D11197" w:rsidRPr="00D11197" w:rsidRDefault="00D11197" w:rsidP="00D11197">
            <w:pPr>
              <w:pStyle w:val="SingleLineText-Half"/>
              <w:rPr>
                <w:rStyle w:val="Bold"/>
              </w:rPr>
            </w:pPr>
          </w:p>
        </w:tc>
      </w:tr>
      <w:tr w:rsidR="00D11197" w:rsidRPr="00675794" w14:paraId="486E5F03" w14:textId="77777777" w:rsidTr="005920BA">
        <w:tc>
          <w:tcPr>
            <w:tcW w:w="9070" w:type="dxa"/>
            <w:gridSpan w:val="2"/>
            <w:tcBorders>
              <w:bottom w:val="nil"/>
            </w:tcBorders>
            <w:shd w:val="clear" w:color="auto" w:fill="DCE6F2"/>
          </w:tcPr>
          <w:p w14:paraId="2C244892" w14:textId="77777777" w:rsidR="00D11197" w:rsidRPr="00D11197" w:rsidRDefault="00D11197" w:rsidP="00D11197">
            <w:pPr>
              <w:pStyle w:val="Tableheading-leftaligned"/>
            </w:pPr>
            <w:r w:rsidRPr="00C233C2">
              <w:t xml:space="preserve">Additional instructions for </w:t>
            </w:r>
            <w:r w:rsidRPr="00D11197">
              <w:t>ASPs</w:t>
            </w:r>
          </w:p>
          <w:p w14:paraId="7045A199" w14:textId="77777777" w:rsidR="00D11197" w:rsidRDefault="00D11197" w:rsidP="00D11197">
            <w:pPr>
              <w:pStyle w:val="Tabletext"/>
            </w:pPr>
            <w:r w:rsidRPr="00675794">
              <w:t xml:space="preserve">The </w:t>
            </w:r>
            <w:r w:rsidRPr="00D11197">
              <w:t>ASP may, with approval of the EC, parent and controlled entities, issue one AEP for the group, after considering the factors listed above.</w:t>
            </w:r>
          </w:p>
          <w:p w14:paraId="0700E56E" w14:textId="37DB39D0" w:rsidR="00DB2CFA" w:rsidRPr="00D11197" w:rsidRDefault="00DB2CFA" w:rsidP="005920BA">
            <w:pPr>
              <w:pStyle w:val="SingleLineText-Half"/>
              <w:rPr>
                <w:rStyle w:val="Bold"/>
              </w:rPr>
            </w:pPr>
          </w:p>
        </w:tc>
      </w:tr>
      <w:tr w:rsidR="00D11197" w:rsidRPr="00675794" w14:paraId="58120E9B" w14:textId="77777777" w:rsidTr="00C60F3E">
        <w:tc>
          <w:tcPr>
            <w:tcW w:w="9070" w:type="dxa"/>
            <w:gridSpan w:val="2"/>
            <w:shd w:val="clear" w:color="auto" w:fill="D9D9D9" w:themeFill="background1" w:themeFillShade="D9"/>
          </w:tcPr>
          <w:p w14:paraId="260718E4" w14:textId="77777777" w:rsidR="00D11197" w:rsidRPr="005920BA" w:rsidRDefault="00D11197" w:rsidP="00D11197">
            <w:pPr>
              <w:pStyle w:val="Tableheading-leftaligned"/>
              <w:rPr>
                <w:rStyle w:val="Bold"/>
                <w:b/>
              </w:rPr>
            </w:pPr>
            <w:r w:rsidRPr="005920BA">
              <w:rPr>
                <w:rStyle w:val="Bold"/>
                <w:b/>
              </w:rPr>
              <w:t>Objective</w:t>
            </w:r>
          </w:p>
          <w:p w14:paraId="7952A9EF" w14:textId="77777777" w:rsidR="00D11197" w:rsidRPr="00D11197" w:rsidRDefault="00D11197" w:rsidP="00D11197">
            <w:pPr>
              <w:pStyle w:val="Tabletext"/>
            </w:pPr>
            <w:r w:rsidRPr="00675794">
              <w:t>Th</w:t>
            </w:r>
            <w:r w:rsidRPr="00D11197">
              <w:t>is template sets out the AEP’s general content, format and the covering letter to help auditors comply with:</w:t>
            </w:r>
          </w:p>
          <w:p w14:paraId="734E1E1F" w14:textId="3664623D" w:rsidR="00D11197" w:rsidRPr="00D11197" w:rsidRDefault="00D11197" w:rsidP="00D11197">
            <w:pPr>
              <w:pStyle w:val="Tablebullet"/>
            </w:pPr>
            <w:r w:rsidRPr="00675794">
              <w:t>ASA 210</w:t>
            </w:r>
            <w:r w:rsidRPr="00D11197" w:rsidDel="00E02A6C">
              <w:t xml:space="preserve"> </w:t>
            </w:r>
            <w:r w:rsidRPr="00D11197">
              <w:t>‘Agreeing the Terms of Audit Engagements’</w:t>
            </w:r>
          </w:p>
          <w:p w14:paraId="16E68579" w14:textId="77777777" w:rsidR="00D11197" w:rsidRPr="00D11197" w:rsidRDefault="00D11197" w:rsidP="00D11197">
            <w:pPr>
              <w:pStyle w:val="Tablebullet"/>
            </w:pPr>
            <w:r w:rsidRPr="00675794">
              <w:t>APES 305</w:t>
            </w:r>
            <w:r w:rsidRPr="00D11197" w:rsidDel="00E02A6C">
              <w:t xml:space="preserve"> </w:t>
            </w:r>
            <w:r w:rsidRPr="00D11197">
              <w:t>‘Terms of Engagement’</w:t>
            </w:r>
          </w:p>
          <w:p w14:paraId="249B3053" w14:textId="033D62BD" w:rsidR="00D11197" w:rsidRDefault="00D11197" w:rsidP="00D11197">
            <w:pPr>
              <w:pStyle w:val="Tablebullet"/>
            </w:pPr>
            <w:r w:rsidRPr="00675794">
              <w:t xml:space="preserve">ASA 600 ‘Special Considerations – Audits of a Group Financial Report (Including the Work of Component </w:t>
            </w:r>
            <w:r w:rsidRPr="00D11197">
              <w:t>Auditors)’.</w:t>
            </w:r>
          </w:p>
          <w:p w14:paraId="65019C03" w14:textId="77777777" w:rsidR="00AA11BC" w:rsidRPr="00D11197" w:rsidRDefault="00AA11BC" w:rsidP="005920BA">
            <w:pPr>
              <w:pStyle w:val="SingleLineText-Half"/>
            </w:pPr>
          </w:p>
          <w:p w14:paraId="7099B0EC" w14:textId="77777777" w:rsidR="00D11197" w:rsidRPr="005920BA" w:rsidRDefault="00D11197" w:rsidP="00D11197">
            <w:pPr>
              <w:pStyle w:val="Tableheading-leftaligned"/>
              <w:rPr>
                <w:rStyle w:val="Bold"/>
                <w:b/>
              </w:rPr>
            </w:pPr>
            <w:r w:rsidRPr="005920BA">
              <w:rPr>
                <w:rStyle w:val="Bold"/>
                <w:b/>
              </w:rPr>
              <w:t>Documentation</w:t>
            </w:r>
          </w:p>
          <w:p w14:paraId="78000902" w14:textId="77777777" w:rsidR="00D11197" w:rsidRDefault="00D11197" w:rsidP="00D11197">
            <w:pPr>
              <w:pStyle w:val="Tabletext"/>
            </w:pPr>
            <w:r w:rsidRPr="00675794">
              <w:t xml:space="preserve">File </w:t>
            </w:r>
            <w:r w:rsidRPr="00D11197">
              <w:t>the signed covering letter, AEP and the auditee’s Acknowledgement of Terms (where applicable) in both the auditee’s HPCM z file container and the audit file.</w:t>
            </w:r>
          </w:p>
          <w:p w14:paraId="53254698" w14:textId="3A555DE6" w:rsidR="00DB2CFA" w:rsidRPr="00D11197" w:rsidRDefault="00DB2CFA" w:rsidP="005920BA">
            <w:pPr>
              <w:pStyle w:val="SingleLineText-Half"/>
              <w:rPr>
                <w:rStyle w:val="Bold"/>
              </w:rPr>
            </w:pPr>
          </w:p>
        </w:tc>
      </w:tr>
      <w:tr w:rsidR="00D11197" w:rsidRPr="00675794" w14:paraId="33DE5DAD" w14:textId="77777777" w:rsidTr="00C60F3E">
        <w:tc>
          <w:tcPr>
            <w:tcW w:w="9070" w:type="dxa"/>
            <w:gridSpan w:val="2"/>
            <w:shd w:val="clear" w:color="auto" w:fill="DCE6F2"/>
          </w:tcPr>
          <w:p w14:paraId="47C744E6" w14:textId="77777777" w:rsidR="00D11197" w:rsidRPr="00D11197" w:rsidRDefault="00D11197" w:rsidP="00D11197">
            <w:pPr>
              <w:pStyle w:val="Tableheading-leftaligned"/>
            </w:pPr>
            <w:r w:rsidRPr="00C233C2">
              <w:t xml:space="preserve">Additional instructions for </w:t>
            </w:r>
            <w:r w:rsidRPr="00D11197">
              <w:t>ASPs</w:t>
            </w:r>
          </w:p>
          <w:p w14:paraId="26AF5DDE" w14:textId="77777777" w:rsidR="00D11197" w:rsidRDefault="00D11197" w:rsidP="00D11197">
            <w:pPr>
              <w:pStyle w:val="Tabletext"/>
            </w:pPr>
            <w:r w:rsidRPr="00675794">
              <w:t xml:space="preserve">File </w:t>
            </w:r>
            <w:r w:rsidRPr="00D11197">
              <w:t>the signed covering letter, AEP and the auditee’s Acknowledgement of Terms (where applicable) in the audit file.</w:t>
            </w:r>
          </w:p>
          <w:p w14:paraId="42AAF74F" w14:textId="5B675832" w:rsidR="005D26D4" w:rsidRPr="00D11197" w:rsidRDefault="005D26D4" w:rsidP="005920BA">
            <w:pPr>
              <w:pStyle w:val="SingleLineText-Half"/>
              <w:rPr>
                <w:rStyle w:val="Bold"/>
              </w:rPr>
            </w:pPr>
          </w:p>
        </w:tc>
      </w:tr>
    </w:tbl>
    <w:p w14:paraId="74BC96BA" w14:textId="77777777" w:rsidR="00D11197" w:rsidRPr="00675794" w:rsidRDefault="00D11197" w:rsidP="00D11197"/>
    <w:p w14:paraId="01EF5875" w14:textId="77777777" w:rsidR="00D11197" w:rsidRPr="00675794" w:rsidRDefault="00D11197" w:rsidP="00D11197">
      <w:pPr>
        <w:sectPr w:rsidR="00D11197" w:rsidRPr="00675794" w:rsidSect="00C60F3E">
          <w:footerReference w:type="default" r:id="rId11"/>
          <w:pgSz w:w="11907" w:h="16840" w:code="9"/>
          <w:pgMar w:top="1418" w:right="1418" w:bottom="1134" w:left="1418" w:header="720" w:footer="720" w:gutter="0"/>
          <w:paperSrc w:first="2" w:other="2"/>
          <w:cols w:space="708"/>
          <w:docGrid w:linePitch="360"/>
        </w:sectPr>
      </w:pPr>
    </w:p>
    <w:p w14:paraId="56212FC8" w14:textId="77777777" w:rsidR="00D11197" w:rsidRPr="00675794" w:rsidRDefault="00D11197" w:rsidP="00D11197">
      <w:pPr>
        <w:pStyle w:val="BodyText"/>
      </w:pPr>
    </w:p>
    <w:p w14:paraId="5232FD19" w14:textId="77777777" w:rsidR="00D11197" w:rsidRPr="00675794" w:rsidRDefault="00D11197" w:rsidP="00D11197">
      <w:pPr>
        <w:pStyle w:val="BodyText"/>
      </w:pPr>
      <w:r w:rsidRPr="00D11197">
        <w:rPr>
          <w:noProof/>
        </w:rPr>
        <mc:AlternateContent>
          <mc:Choice Requires="wps">
            <w:drawing>
              <wp:anchor distT="0" distB="0" distL="114300" distR="114300" simplePos="0" relativeHeight="251660288" behindDoc="0" locked="0" layoutInCell="1" allowOverlap="1" wp14:anchorId="4BCECD53" wp14:editId="57A7B62D">
                <wp:simplePos x="0" y="0"/>
                <wp:positionH relativeFrom="column">
                  <wp:posOffset>4338594</wp:posOffset>
                </wp:positionH>
                <wp:positionV relativeFrom="paragraph">
                  <wp:posOffset>8255</wp:posOffset>
                </wp:positionV>
                <wp:extent cx="1876425" cy="741680"/>
                <wp:effectExtent l="0" t="0" r="9525" b="1270"/>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A051A" w14:textId="77777777" w:rsidR="005920BA" w:rsidRPr="003622E5" w:rsidRDefault="005920BA" w:rsidP="00D11197">
                            <w:pPr>
                              <w:pStyle w:val="Referencebox"/>
                            </w:pPr>
                            <w:r w:rsidRPr="003622E5">
                              <w:t>Contact:</w:t>
                            </w:r>
                            <w:r w:rsidRPr="003622E5">
                              <w:tab/>
                            </w:r>
                          </w:p>
                          <w:p w14:paraId="4D12668C" w14:textId="77777777" w:rsidR="005920BA" w:rsidRPr="003622E5" w:rsidRDefault="005920BA" w:rsidP="00D11197">
                            <w:pPr>
                              <w:pStyle w:val="Referencebox"/>
                            </w:pPr>
                            <w:r w:rsidRPr="003622E5">
                              <w:t>Phone no:</w:t>
                            </w:r>
                            <w:r w:rsidRPr="003622E5">
                              <w:tab/>
                            </w:r>
                          </w:p>
                          <w:p w14:paraId="55F4FA3A" w14:textId="77777777" w:rsidR="005920BA" w:rsidRPr="003622E5" w:rsidRDefault="005920BA" w:rsidP="00D11197">
                            <w:pPr>
                              <w:pStyle w:val="Referencebox"/>
                            </w:pPr>
                            <w:r w:rsidRPr="003622E5">
                              <w:t>Our ref:</w:t>
                            </w:r>
                            <w:r w:rsidRPr="003622E5">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ECD53" id="_x0000_t202" coordsize="21600,21600" o:spt="202" path="m,l,21600r21600,l21600,xe">
                <v:stroke joinstyle="miter"/>
                <v:path gradientshapeok="t" o:connecttype="rect"/>
              </v:shapetype>
              <v:shape id="Text Box 2" o:spid="_x0000_s1026" type="#_x0000_t202" style="position:absolute;margin-left:341.6pt;margin-top:.65pt;width:147.7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" stroked="f">
                <v:textbox>
                  <w:txbxContent>
                    <w:p w14:paraId="1E2A051A" w14:textId="77777777" w:rsidR="005920BA" w:rsidRPr="003622E5" w:rsidRDefault="005920BA" w:rsidP="00D11197">
                      <w:pPr>
                        <w:pStyle w:val="Referencebox"/>
                      </w:pPr>
                      <w:r w:rsidRPr="003622E5">
                        <w:t>Contact:</w:t>
                      </w:r>
                      <w:r w:rsidRPr="003622E5">
                        <w:tab/>
                      </w:r>
                    </w:p>
                    <w:p w14:paraId="4D12668C" w14:textId="77777777" w:rsidR="005920BA" w:rsidRPr="003622E5" w:rsidRDefault="005920BA" w:rsidP="00D11197">
                      <w:pPr>
                        <w:pStyle w:val="Referencebox"/>
                      </w:pPr>
                      <w:r w:rsidRPr="003622E5">
                        <w:t>Phone no:</w:t>
                      </w:r>
                      <w:r w:rsidRPr="003622E5">
                        <w:tab/>
                      </w:r>
                    </w:p>
                    <w:p w14:paraId="55F4FA3A" w14:textId="77777777" w:rsidR="005920BA" w:rsidRPr="003622E5" w:rsidRDefault="005920BA" w:rsidP="00D11197">
                      <w:pPr>
                        <w:pStyle w:val="Referencebox"/>
                      </w:pPr>
                      <w:r w:rsidRPr="003622E5">
                        <w:t>Our ref:</w:t>
                      </w:r>
                      <w:r w:rsidRPr="003622E5">
                        <w:tab/>
                      </w:r>
                    </w:p>
                  </w:txbxContent>
                </v:textbox>
              </v:shape>
            </w:pict>
          </mc:Fallback>
        </mc:AlternateContent>
      </w:r>
      <w:r w:rsidRPr="00675794">
        <w:t>[</w:t>
      </w:r>
      <w:r w:rsidRPr="00675794">
        <w:rPr>
          <w:rStyle w:val="Italic"/>
        </w:rPr>
        <w:t>Name</w:t>
      </w:r>
      <w:r w:rsidRPr="00675794">
        <w:t>]</w:t>
      </w:r>
      <w:r w:rsidRPr="00675794">
        <w:br/>
        <w:t>[</w:t>
      </w:r>
      <w:r w:rsidRPr="00274A41">
        <w:t>CEO / Chair / Managing Director / Secretary / Department Head</w:t>
      </w:r>
      <w:r w:rsidRPr="00675794">
        <w:t>]</w:t>
      </w:r>
      <w:r w:rsidRPr="00675794">
        <w:br/>
        <w:t>[</w:t>
      </w:r>
      <w:r w:rsidRPr="00675794">
        <w:rPr>
          <w:rStyle w:val="Italic"/>
        </w:rPr>
        <w:t>Auditee Name</w:t>
      </w:r>
      <w:r w:rsidRPr="00675794">
        <w:t>]</w:t>
      </w:r>
      <w:r w:rsidRPr="00675794">
        <w:br/>
        <w:t>[</w:t>
      </w:r>
      <w:r w:rsidRPr="00D30510">
        <w:rPr>
          <w:rStyle w:val="Italic"/>
        </w:rPr>
        <w:t>Auditee’s</w:t>
      </w:r>
      <w:r w:rsidRPr="00675794">
        <w:t xml:space="preserve"> </w:t>
      </w:r>
      <w:r w:rsidRPr="00675794">
        <w:rPr>
          <w:rStyle w:val="Italic"/>
        </w:rPr>
        <w:t>Address</w:t>
      </w:r>
      <w:r w:rsidRPr="00675794">
        <w:t>]</w:t>
      </w:r>
    </w:p>
    <w:p w14:paraId="09249914" w14:textId="77777777" w:rsidR="00D11197" w:rsidRPr="00675794" w:rsidRDefault="00D11197" w:rsidP="00D11197">
      <w:pPr>
        <w:pStyle w:val="BodyText"/>
      </w:pPr>
    </w:p>
    <w:p w14:paraId="5C114471" w14:textId="77777777" w:rsidR="00D11197" w:rsidRPr="00675794" w:rsidRDefault="00D11197" w:rsidP="00D11197">
      <w:pPr>
        <w:pStyle w:val="Bodytextrightaligned"/>
      </w:pPr>
      <w:r w:rsidRPr="00675794">
        <w:t>[</w:t>
      </w:r>
      <w:r w:rsidRPr="00675794">
        <w:rPr>
          <w:rStyle w:val="Italic"/>
        </w:rPr>
        <w:t>date</w:t>
      </w:r>
      <w:r w:rsidRPr="00675794">
        <w:t>]</w:t>
      </w:r>
    </w:p>
    <w:p w14:paraId="1D7B9B63" w14:textId="77777777" w:rsidR="00D11197" w:rsidRPr="00675794" w:rsidRDefault="00D11197" w:rsidP="00D11197">
      <w:pPr>
        <w:pStyle w:val="BodyText"/>
      </w:pPr>
    </w:p>
    <w:p w14:paraId="2A04F3DE" w14:textId="77777777" w:rsidR="00D11197" w:rsidRPr="00675794" w:rsidRDefault="00D11197" w:rsidP="00D11197">
      <w:pPr>
        <w:pStyle w:val="BodyText"/>
      </w:pPr>
      <w:r w:rsidRPr="00675794">
        <w:t>Dear [</w:t>
      </w:r>
      <w:r w:rsidRPr="00675794">
        <w:rPr>
          <w:rStyle w:val="Italic"/>
        </w:rPr>
        <w:t>Mr/Mrs/Ms</w:t>
      </w:r>
      <w:r w:rsidRPr="00675794">
        <w:t>]</w:t>
      </w:r>
    </w:p>
    <w:p w14:paraId="1B0C4964" w14:textId="77777777" w:rsidR="00D11197" w:rsidRPr="00675794" w:rsidRDefault="00D11197" w:rsidP="00D11197">
      <w:pPr>
        <w:pStyle w:val="BodyText"/>
      </w:pPr>
    </w:p>
    <w:p w14:paraId="41684E94" w14:textId="77777777" w:rsidR="00D11197" w:rsidRPr="00675794" w:rsidRDefault="00D11197" w:rsidP="00D11197">
      <w:pPr>
        <w:pStyle w:val="HeadingCentred"/>
      </w:pPr>
      <w:r w:rsidRPr="00675794">
        <w:t>Audit of the [</w:t>
      </w:r>
      <w:r w:rsidRPr="00675794">
        <w:rPr>
          <w:rStyle w:val="Italic"/>
        </w:rPr>
        <w:t>Auditee Name</w:t>
      </w:r>
      <w:r w:rsidRPr="00675794">
        <w:t>]</w:t>
      </w:r>
    </w:p>
    <w:p w14:paraId="599B6805" w14:textId="77777777" w:rsidR="00D11197" w:rsidRPr="00675794" w:rsidRDefault="00D11197" w:rsidP="00D11197">
      <w:pPr>
        <w:pStyle w:val="HeadingCentred"/>
      </w:pPr>
      <w:r w:rsidRPr="00675794">
        <w:t>for the year ending [</w:t>
      </w:r>
      <w:r w:rsidRPr="00675794">
        <w:rPr>
          <w:rStyle w:val="Italic"/>
        </w:rPr>
        <w:t>date</w:t>
      </w:r>
      <w:r w:rsidRPr="00675794">
        <w:t>]</w:t>
      </w:r>
    </w:p>
    <w:p w14:paraId="39F26301" w14:textId="77777777" w:rsidR="00D11197" w:rsidRPr="00675794" w:rsidRDefault="00D11197" w:rsidP="00D11197">
      <w:pPr>
        <w:pStyle w:val="BodyText"/>
      </w:pPr>
    </w:p>
    <w:p w14:paraId="22CCF961" w14:textId="018D985D" w:rsidR="00D11197" w:rsidRPr="00675794" w:rsidRDefault="00D11197" w:rsidP="00D11197">
      <w:pPr>
        <w:pStyle w:val="BodyText"/>
      </w:pPr>
      <w:r w:rsidRPr="00675794">
        <w:t xml:space="preserve">Attached is the Annual Engagement </w:t>
      </w:r>
      <w:r>
        <w:t>Plan</w:t>
      </w:r>
      <w:r w:rsidRPr="00675794">
        <w:t xml:space="preserve"> </w:t>
      </w:r>
      <w:r>
        <w:t xml:space="preserve">(AEP) </w:t>
      </w:r>
      <w:r w:rsidRPr="00675794">
        <w:t>for the audit of the [</w:t>
      </w:r>
      <w:r w:rsidRPr="00675794">
        <w:rPr>
          <w:rStyle w:val="Italic"/>
        </w:rPr>
        <w:t>Auditee Name</w:t>
      </w:r>
      <w:r w:rsidRPr="00675794">
        <w:t>]’s financial statements for the year ending [</w:t>
      </w:r>
      <w:r w:rsidRPr="00675794">
        <w:rPr>
          <w:rStyle w:val="Italic"/>
        </w:rPr>
        <w:t>date</w:t>
      </w:r>
      <w:r w:rsidRPr="00675794">
        <w:t xml:space="preserve">]. The </w:t>
      </w:r>
      <w:r>
        <w:t>AEP</w:t>
      </w:r>
      <w:r w:rsidRPr="00675794">
        <w:t xml:space="preserve"> reflects conditions unique to this engagement. You will find the standard Terms of Engagement on the Audit Office website at</w:t>
      </w:r>
      <w:r w:rsidR="00886FA8">
        <w:rPr>
          <w:rStyle w:val="Hyperlink"/>
        </w:rPr>
        <w:t xml:space="preserve"> </w:t>
      </w:r>
      <w:hyperlink r:id="rId12" w:history="1">
        <w:r w:rsidR="00886FA8" w:rsidRPr="00886FA8">
          <w:rPr>
            <w:rStyle w:val="Hyperlink"/>
          </w:rPr>
          <w:t>https://www.audit.nsw.gov.au/our-stakeholders</w:t>
        </w:r>
      </w:hyperlink>
      <w:r w:rsidRPr="00675794">
        <w:t>.</w:t>
      </w:r>
    </w:p>
    <w:p w14:paraId="2C87B3D0" w14:textId="4CB0C220" w:rsidR="00D11197" w:rsidRPr="00675794" w:rsidRDefault="00D11197" w:rsidP="00D11197">
      <w:pPr>
        <w:pStyle w:val="BodyText"/>
      </w:pPr>
      <w:r w:rsidRPr="00675794">
        <w:t xml:space="preserve">If you would like to discuss the </w:t>
      </w:r>
      <w:r>
        <w:t>AEP</w:t>
      </w:r>
      <w:r w:rsidRPr="00675794">
        <w:t>, please call me on [</w:t>
      </w:r>
      <w:r w:rsidRPr="00675794">
        <w:rPr>
          <w:rStyle w:val="Italic"/>
        </w:rPr>
        <w:t>phone number</w:t>
      </w:r>
      <w:r w:rsidRPr="00675794">
        <w:t>] or [</w:t>
      </w:r>
      <w:r w:rsidRPr="005920BA">
        <w:rPr>
          <w:i/>
        </w:rPr>
        <w:t xml:space="preserve">insert name of </w:t>
      </w:r>
      <w:r w:rsidRPr="00B421B6">
        <w:rPr>
          <w:rStyle w:val="Italic"/>
        </w:rPr>
        <w:t>audit leader, audit service provider etc</w:t>
      </w:r>
      <w:r w:rsidRPr="00675794">
        <w:t>] on [</w:t>
      </w:r>
      <w:r w:rsidRPr="00675794">
        <w:rPr>
          <w:rStyle w:val="Italic"/>
        </w:rPr>
        <w:t>phone number</w:t>
      </w:r>
      <w:r w:rsidRPr="00675794">
        <w:t xml:space="preserve">]. The </w:t>
      </w:r>
      <w:r>
        <w:t>AEP</w:t>
      </w:r>
      <w:r w:rsidRPr="00675794">
        <w:t xml:space="preserve"> will be presented to the next Audit and Risk Committee on [</w:t>
      </w:r>
      <w:r w:rsidRPr="00675794">
        <w:rPr>
          <w:rStyle w:val="Italic"/>
        </w:rPr>
        <w:t>date of next meeting</w:t>
      </w:r>
      <w:r w:rsidRPr="00675794">
        <w:t>].</w:t>
      </w:r>
    </w:p>
    <w:tbl>
      <w:tblPr>
        <w:tblStyle w:val="TableGrid"/>
        <w:tblW w:w="9070" w:type="dxa"/>
        <w:tblLook w:val="04A0" w:firstRow="1" w:lastRow="0" w:firstColumn="1" w:lastColumn="0" w:noHBand="0" w:noVBand="1"/>
      </w:tblPr>
      <w:tblGrid>
        <w:gridCol w:w="9070"/>
      </w:tblGrid>
      <w:tr w:rsidR="00D11197" w:rsidRPr="00675794" w14:paraId="34CFC57F" w14:textId="77777777" w:rsidTr="00C60F3E">
        <w:tc>
          <w:tcPr>
            <w:tcW w:w="9060" w:type="dxa"/>
            <w:shd w:val="clear" w:color="auto" w:fill="D9D9D9" w:themeFill="background1" w:themeFillShade="D9"/>
          </w:tcPr>
          <w:p w14:paraId="6D0A0787" w14:textId="77777777" w:rsidR="00D11197" w:rsidRPr="00D11197" w:rsidRDefault="00D11197" w:rsidP="00D11197">
            <w:pPr>
              <w:pStyle w:val="Tabletext"/>
              <w:rPr>
                <w:rStyle w:val="Bold"/>
              </w:rPr>
            </w:pPr>
            <w:r w:rsidRPr="00D30510">
              <w:rPr>
                <w:rStyle w:val="Bold"/>
              </w:rPr>
              <w:t xml:space="preserve">Only include </w:t>
            </w:r>
            <w:r w:rsidRPr="00D11197">
              <w:rPr>
                <w:rStyle w:val="Bold"/>
              </w:rPr>
              <w:t>the sentence below if the auditee is required to sign the ‘Acknowledgement of Terms’ for the year.</w:t>
            </w:r>
          </w:p>
        </w:tc>
      </w:tr>
    </w:tbl>
    <w:p w14:paraId="21D871EE" w14:textId="77777777" w:rsidR="00D11197" w:rsidRPr="00675794" w:rsidRDefault="00D11197" w:rsidP="00D11197">
      <w:pPr>
        <w:pStyle w:val="BodyText"/>
      </w:pPr>
    </w:p>
    <w:p w14:paraId="0797744E" w14:textId="77777777" w:rsidR="00D11197" w:rsidRPr="00675794" w:rsidRDefault="00D11197" w:rsidP="00D11197">
      <w:pPr>
        <w:pStyle w:val="BodyText"/>
      </w:pPr>
      <w:r w:rsidRPr="00675794">
        <w:t>[Please detach, sign and return the enclosed ‘</w:t>
      </w:r>
      <w:hyperlink w:anchor="Agreement_Terms" w:history="1">
        <w:r w:rsidRPr="00675794">
          <w:rPr>
            <w:rStyle w:val="Hyperlink"/>
          </w:rPr>
          <w:t>Acknowledgement of Terms</w:t>
        </w:r>
      </w:hyperlink>
      <w:r w:rsidRPr="00675794">
        <w:t>’.]</w:t>
      </w:r>
    </w:p>
    <w:p w14:paraId="58559AB1" w14:textId="77777777" w:rsidR="00D11197" w:rsidRPr="00675794" w:rsidRDefault="00D11197" w:rsidP="00D11197">
      <w:pPr>
        <w:pStyle w:val="BodyText"/>
      </w:pPr>
    </w:p>
    <w:p w14:paraId="671C67A4" w14:textId="77777777" w:rsidR="00D11197" w:rsidRPr="00675794" w:rsidRDefault="00D11197" w:rsidP="00D11197">
      <w:pPr>
        <w:pStyle w:val="BodyText"/>
      </w:pPr>
      <w:r w:rsidRPr="00675794">
        <w:t>Yours sincerely</w:t>
      </w:r>
    </w:p>
    <w:p w14:paraId="47C0FBA2" w14:textId="77777777" w:rsidR="00D11197" w:rsidRPr="00675794" w:rsidRDefault="00D11197" w:rsidP="00D11197">
      <w:pPr>
        <w:pStyle w:val="BodyText"/>
      </w:pPr>
    </w:p>
    <w:p w14:paraId="518255C2" w14:textId="77777777" w:rsidR="00D11197" w:rsidRPr="00675794" w:rsidRDefault="00D11197" w:rsidP="00D11197">
      <w:pPr>
        <w:pStyle w:val="BodyText"/>
      </w:pPr>
    </w:p>
    <w:p w14:paraId="1020E080" w14:textId="77777777" w:rsidR="00D11197" w:rsidRPr="00675794" w:rsidRDefault="00D11197" w:rsidP="00D11197">
      <w:pPr>
        <w:pStyle w:val="BodyText"/>
      </w:pPr>
    </w:p>
    <w:p w14:paraId="58514CFD" w14:textId="77777777" w:rsidR="00D11197" w:rsidRPr="00675794" w:rsidRDefault="00D11197" w:rsidP="00D11197">
      <w:pPr>
        <w:pStyle w:val="BodyText"/>
      </w:pPr>
      <w:r w:rsidRPr="00675794">
        <w:t>[</w:t>
      </w:r>
      <w:r w:rsidRPr="00675794">
        <w:rPr>
          <w:rStyle w:val="Italic"/>
        </w:rPr>
        <w:t>Name</w:t>
      </w:r>
      <w:r w:rsidRPr="00675794">
        <w:t>]</w:t>
      </w:r>
      <w:r w:rsidRPr="00675794">
        <w:br/>
      </w:r>
      <w:r>
        <w:t>[</w:t>
      </w:r>
      <w:r w:rsidRPr="00675794">
        <w:t>Director</w:t>
      </w:r>
      <w:r>
        <w:t xml:space="preserve"> / Audit Leader]</w:t>
      </w:r>
      <w:r w:rsidRPr="00675794">
        <w:t>, Financial Audit Services</w:t>
      </w:r>
    </w:p>
    <w:p w14:paraId="4203727B" w14:textId="77777777" w:rsidR="00D11197" w:rsidRPr="00675794" w:rsidRDefault="00D11197" w:rsidP="00D11197">
      <w:pPr>
        <w:sectPr w:rsidR="00D11197" w:rsidRPr="00675794" w:rsidSect="00C60F3E">
          <w:headerReference w:type="default" r:id="rId13"/>
          <w:footerReference w:type="default" r:id="rId14"/>
          <w:pgSz w:w="11907" w:h="16840" w:code="9"/>
          <w:pgMar w:top="2835" w:right="1418" w:bottom="1134" w:left="1418" w:header="720" w:footer="720" w:gutter="0"/>
          <w:paperSrc w:first="2" w:other="2"/>
          <w:cols w:space="708"/>
          <w:docGrid w:linePitch="360"/>
        </w:sectPr>
      </w:pPr>
    </w:p>
    <w:p w14:paraId="194BBA18" w14:textId="341420AA" w:rsidR="00D11197" w:rsidRPr="006E1E63" w:rsidRDefault="00D11197" w:rsidP="00D11197">
      <w:pPr>
        <w:pStyle w:val="Heading1"/>
      </w:pPr>
      <w:bookmarkStart w:id="2" w:name="Agreement_Terms"/>
      <w:r w:rsidRPr="00675794">
        <w:t>[</w:t>
      </w:r>
      <w:r w:rsidRPr="00D30510">
        <w:rPr>
          <w:rStyle w:val="Italic"/>
        </w:rPr>
        <w:t>Auditee logo</w:t>
      </w:r>
      <w:r w:rsidRPr="00675794">
        <w:t>]</w:t>
      </w:r>
    </w:p>
    <w:p w14:paraId="66D26D0A" w14:textId="77777777" w:rsidR="00D11197" w:rsidRPr="00675794" w:rsidRDefault="00D11197" w:rsidP="00D11197">
      <w:pPr>
        <w:pStyle w:val="BodyText"/>
      </w:pPr>
    </w:p>
    <w:tbl>
      <w:tblPr>
        <w:tblStyle w:val="TableGrid"/>
        <w:tblW w:w="9070" w:type="dxa"/>
        <w:tblLook w:val="04A0" w:firstRow="1" w:lastRow="0" w:firstColumn="1" w:lastColumn="0" w:noHBand="0" w:noVBand="1"/>
      </w:tblPr>
      <w:tblGrid>
        <w:gridCol w:w="9070"/>
      </w:tblGrid>
      <w:tr w:rsidR="00D11197" w:rsidRPr="006E1E63" w14:paraId="1F6F4581" w14:textId="77777777" w:rsidTr="00C60F3E">
        <w:tc>
          <w:tcPr>
            <w:tcW w:w="9060" w:type="dxa"/>
            <w:shd w:val="clear" w:color="auto" w:fill="D9D9D9" w:themeFill="background1" w:themeFillShade="D9"/>
          </w:tcPr>
          <w:p w14:paraId="31AE0CB3" w14:textId="77777777" w:rsidR="00D11197" w:rsidRPr="00D11197" w:rsidRDefault="00D11197" w:rsidP="00D11197">
            <w:pPr>
              <w:pStyle w:val="Tabletext"/>
              <w:rPr>
                <w:rStyle w:val="Bold"/>
              </w:rPr>
            </w:pPr>
            <w:r w:rsidRPr="006E1E63">
              <w:rPr>
                <w:rStyle w:val="Bold"/>
              </w:rPr>
              <w:t>An auditee is not required to sign the ‘Acknowledgement</w:t>
            </w:r>
            <w:r w:rsidRPr="00D11197">
              <w:rPr>
                <w:rStyle w:val="Bold"/>
              </w:rPr>
              <w:t xml:space="preserve"> of Terms’ each year. Auditees are only required to sign an ‘Acknowledgement of Terms’ for:</w:t>
            </w:r>
          </w:p>
          <w:p w14:paraId="7D29F05D" w14:textId="77777777" w:rsidR="00D11197" w:rsidRPr="00D11197" w:rsidRDefault="00D11197" w:rsidP="00D11197">
            <w:pPr>
              <w:pStyle w:val="Tablebullet"/>
              <w:rPr>
                <w:rStyle w:val="Bold"/>
              </w:rPr>
            </w:pPr>
            <w:r w:rsidRPr="004767ED">
              <w:rPr>
                <w:rStyle w:val="Bold"/>
              </w:rPr>
              <w:t>new engagements</w:t>
            </w:r>
          </w:p>
          <w:p w14:paraId="4CF7089C" w14:textId="0335F579" w:rsidR="00D11197" w:rsidRPr="00D11197" w:rsidRDefault="00D11197" w:rsidP="00D11197">
            <w:pPr>
              <w:pStyle w:val="Tablebullet"/>
              <w:rPr>
                <w:rStyle w:val="Bold"/>
              </w:rPr>
            </w:pPr>
            <w:r w:rsidRPr="004E6427">
              <w:rPr>
                <w:rStyle w:val="Bold"/>
              </w:rPr>
              <w:t>engagements where the scope has changed e.g. the inclusion/exclusion of a non</w:t>
            </w:r>
            <w:r w:rsidR="00F95062">
              <w:rPr>
                <w:rStyle w:val="Bold"/>
              </w:rPr>
              <w:noBreakHyphen/>
            </w:r>
            <w:r w:rsidRPr="00D11197">
              <w:rPr>
                <w:rStyle w:val="Bold"/>
              </w:rPr>
              <w:t>GPFS engagement within this AEP</w:t>
            </w:r>
          </w:p>
          <w:p w14:paraId="3C122702" w14:textId="77777777" w:rsidR="00D11197" w:rsidRPr="00D11197" w:rsidRDefault="00D11197" w:rsidP="00D11197">
            <w:pPr>
              <w:pStyle w:val="Tablebullet"/>
            </w:pPr>
            <w:r w:rsidRPr="004E6427">
              <w:rPr>
                <w:rStyle w:val="Bold"/>
              </w:rPr>
              <w:t xml:space="preserve">engagements where the key personnel </w:t>
            </w:r>
            <w:r w:rsidRPr="00D11197">
              <w:rPr>
                <w:rStyle w:val="Bold"/>
              </w:rPr>
              <w:t>(auditee head, ARC or the EC) have changed.</w:t>
            </w:r>
          </w:p>
        </w:tc>
      </w:tr>
    </w:tbl>
    <w:p w14:paraId="0ACA2E2C" w14:textId="77777777" w:rsidR="00D11197" w:rsidRPr="00675794" w:rsidRDefault="00D11197" w:rsidP="00D11197">
      <w:pPr>
        <w:pStyle w:val="BodyText"/>
      </w:pPr>
    </w:p>
    <w:p w14:paraId="095A0C54" w14:textId="44E80BA5" w:rsidR="00D11197" w:rsidRPr="0063146B" w:rsidRDefault="00D11197" w:rsidP="005920BA">
      <w:pPr>
        <w:pStyle w:val="Heading1-AoT"/>
      </w:pPr>
      <w:r w:rsidRPr="0063146B">
        <w:t>ACKNOWLEDGEMENT OF TERMS</w:t>
      </w:r>
    </w:p>
    <w:bookmarkEnd w:id="2"/>
    <w:p w14:paraId="5E97AAC9" w14:textId="460C144C" w:rsidR="00D11197" w:rsidRPr="00675794" w:rsidRDefault="00D11197" w:rsidP="00D11197">
      <w:pPr>
        <w:pStyle w:val="Heading2"/>
      </w:pPr>
      <w:r w:rsidRPr="00675794">
        <w:t>Audit of the [</w:t>
      </w:r>
      <w:r w:rsidRPr="00675794">
        <w:rPr>
          <w:rStyle w:val="Italic"/>
        </w:rPr>
        <w:t>Auditee Name</w:t>
      </w:r>
      <w:r w:rsidRPr="00675794">
        <w:t>]</w:t>
      </w:r>
      <w:r>
        <w:t>’s</w:t>
      </w:r>
      <w:r w:rsidRPr="00675794">
        <w:t xml:space="preserve"> financial statements</w:t>
      </w:r>
    </w:p>
    <w:p w14:paraId="7B7FCAAA" w14:textId="58738951" w:rsidR="00D11197" w:rsidRPr="00675794" w:rsidRDefault="00D11197" w:rsidP="00D11197">
      <w:pPr>
        <w:pStyle w:val="BodyText"/>
      </w:pPr>
      <w:r w:rsidRPr="00675794">
        <w:t xml:space="preserve">I confirm the information in the Annual Engagement </w:t>
      </w:r>
      <w:r>
        <w:t>Plan</w:t>
      </w:r>
      <w:r w:rsidRPr="00675794">
        <w:t xml:space="preserve"> and </w:t>
      </w:r>
      <w:hyperlink r:id="rId15" w:history="1">
        <w:r w:rsidRPr="00675794">
          <w:rPr>
            <w:rStyle w:val="Hyperlink"/>
          </w:rPr>
          <w:t>Terms of Engagement</w:t>
        </w:r>
      </w:hyperlink>
      <w:r w:rsidRPr="00675794">
        <w:t xml:space="preserve"> accords with my understanding of the arrangements for the audit of the financial statements of the [</w:t>
      </w:r>
      <w:r w:rsidRPr="00675794">
        <w:rPr>
          <w:rStyle w:val="Italic"/>
        </w:rPr>
        <w:t>Auditee Name</w:t>
      </w:r>
      <w:r w:rsidRPr="00675794">
        <w:t>] (the [</w:t>
      </w:r>
      <w:r w:rsidRPr="00D30510">
        <w:rPr>
          <w:rStyle w:val="Italic"/>
        </w:rPr>
        <w:t>abbreviated name</w:t>
      </w:r>
      <w:r w:rsidRPr="00675794">
        <w:t>]).</w:t>
      </w:r>
    </w:p>
    <w:tbl>
      <w:tblPr>
        <w:tblStyle w:val="TableGrid"/>
        <w:tblW w:w="9070" w:type="dxa"/>
        <w:tblLook w:val="04A0" w:firstRow="1" w:lastRow="0" w:firstColumn="1" w:lastColumn="0" w:noHBand="0" w:noVBand="1"/>
      </w:tblPr>
      <w:tblGrid>
        <w:gridCol w:w="9070"/>
      </w:tblGrid>
      <w:tr w:rsidR="00D11197" w:rsidRPr="00675794" w14:paraId="343FF69D" w14:textId="77777777" w:rsidTr="00C60F3E">
        <w:tc>
          <w:tcPr>
            <w:tcW w:w="9072" w:type="dxa"/>
            <w:shd w:val="clear" w:color="auto" w:fill="D9D9D9" w:themeFill="background1" w:themeFillShade="D9"/>
          </w:tcPr>
          <w:p w14:paraId="708EE04E" w14:textId="77777777" w:rsidR="00D11197" w:rsidRPr="00D11197" w:rsidRDefault="00D11197" w:rsidP="00D11197">
            <w:pPr>
              <w:pStyle w:val="Tabletext"/>
              <w:rPr>
                <w:rStyle w:val="Bold"/>
              </w:rPr>
            </w:pPr>
            <w:r w:rsidRPr="004767ED">
              <w:rPr>
                <w:rStyle w:val="Bold"/>
              </w:rPr>
              <w:t>The Audit Office may only share its communications about a controlled entity with the governing body of a parent entity if the controlled entity has authorised the release of this information. Select the first option below where the AEP is for the parent entity, which has obtained permission from its controlled entity. Use the second option where the AEP is for the controlled entity. Delete if neither option is applicable.</w:t>
            </w:r>
          </w:p>
        </w:tc>
      </w:tr>
    </w:tbl>
    <w:p w14:paraId="14E4BCA1" w14:textId="77777777" w:rsidR="00D11197" w:rsidRPr="00675794" w:rsidRDefault="00D11197" w:rsidP="00D11197">
      <w:pPr>
        <w:pStyle w:val="BodyText"/>
      </w:pPr>
    </w:p>
    <w:p w14:paraId="26252CEE" w14:textId="77777777" w:rsidR="00D11197" w:rsidRPr="00675794" w:rsidRDefault="00D11197" w:rsidP="00D11197">
      <w:pPr>
        <w:pStyle w:val="BodyText"/>
      </w:pPr>
      <w:r w:rsidRPr="00675794">
        <w:t>[I have obtained permission from [</w:t>
      </w:r>
      <w:r w:rsidRPr="00675794">
        <w:rPr>
          <w:rStyle w:val="Italic"/>
        </w:rPr>
        <w:t>Insert the name of the authorised person from the controlled entity</w:t>
      </w:r>
      <w:r w:rsidRPr="00675794">
        <w:t>] allowing the Audit Office to discuss matters relating to the financial audit of [</w:t>
      </w:r>
      <w:r w:rsidRPr="00675794">
        <w:rPr>
          <w:rStyle w:val="Italic"/>
        </w:rPr>
        <w:t>Controlled Entity’s</w:t>
      </w:r>
      <w:r w:rsidRPr="00675794">
        <w:t xml:space="preserve"> </w:t>
      </w:r>
      <w:r w:rsidRPr="00675794">
        <w:rPr>
          <w:rStyle w:val="Italic"/>
        </w:rPr>
        <w:t>Name(s)</w:t>
      </w:r>
      <w:r w:rsidRPr="00675794">
        <w:t>] with the [</w:t>
      </w:r>
      <w:r w:rsidRPr="00675794">
        <w:rPr>
          <w:rStyle w:val="Italic"/>
        </w:rPr>
        <w:t>abbreviated name</w:t>
      </w:r>
      <w:r w:rsidRPr="00675794">
        <w:t xml:space="preserve">] and provide us with copies of </w:t>
      </w:r>
      <w:r>
        <w:t>[</w:t>
      </w:r>
      <w:r w:rsidRPr="00675794">
        <w:t>its</w:t>
      </w:r>
      <w:r>
        <w:t>/their]</w:t>
      </w:r>
      <w:r w:rsidRPr="00675794">
        <w:t xml:space="preserve"> reports.]</w:t>
      </w:r>
    </w:p>
    <w:p w14:paraId="7B396207" w14:textId="77777777" w:rsidR="00D11197" w:rsidRPr="00675794" w:rsidRDefault="00D11197" w:rsidP="00D11197">
      <w:pPr>
        <w:pStyle w:val="BodyText"/>
      </w:pPr>
      <w:r w:rsidRPr="00675794">
        <w:t>[OR]</w:t>
      </w:r>
    </w:p>
    <w:p w14:paraId="63728FE4" w14:textId="77777777" w:rsidR="00D11197" w:rsidRPr="00675794" w:rsidRDefault="00D11197" w:rsidP="00D11197">
      <w:pPr>
        <w:pStyle w:val="BodyText"/>
      </w:pPr>
      <w:r w:rsidRPr="00675794">
        <w:t>[I authorise the Audit Office to discuss matters relating to the financial audit of [</w:t>
      </w:r>
      <w:r w:rsidRPr="00675794">
        <w:rPr>
          <w:rStyle w:val="Italic"/>
        </w:rPr>
        <w:t>abbreviated name</w:t>
      </w:r>
      <w:r w:rsidRPr="00675794">
        <w:t>] with [</w:t>
      </w:r>
      <w:r w:rsidRPr="00675794">
        <w:rPr>
          <w:rStyle w:val="Italic"/>
        </w:rPr>
        <w:t>Parent Entity Name</w:t>
      </w:r>
      <w:r w:rsidRPr="00675794">
        <w:t>] and to provide it with copies of its reports].</w:t>
      </w:r>
    </w:p>
    <w:p w14:paraId="3D0706A7" w14:textId="77777777" w:rsidR="00D11197" w:rsidRPr="00675794" w:rsidRDefault="00D11197" w:rsidP="00D11197">
      <w:pPr>
        <w:pStyle w:val="BodyText"/>
      </w:pPr>
      <w:r w:rsidRPr="00675794">
        <w:t>I acknowledge management’s responsibilities as outlined in these documents on behalf of the [</w:t>
      </w:r>
      <w:r w:rsidRPr="00675794">
        <w:rPr>
          <w:rStyle w:val="Italic"/>
        </w:rPr>
        <w:t>abbreviated name</w:t>
      </w:r>
      <w:r w:rsidRPr="00675794">
        <w:t>]:</w:t>
      </w:r>
    </w:p>
    <w:p w14:paraId="519712ED" w14:textId="77777777" w:rsidR="00D11197" w:rsidRPr="00675794" w:rsidRDefault="00D11197" w:rsidP="00D11197">
      <w:pPr>
        <w:pStyle w:val="BodyText"/>
      </w:pPr>
    </w:p>
    <w:p w14:paraId="2BBDFB45" w14:textId="77777777" w:rsidR="00D11197" w:rsidRPr="00675794" w:rsidRDefault="00D11197" w:rsidP="00D11197">
      <w:pPr>
        <w:pStyle w:val="BodyText"/>
      </w:pPr>
    </w:p>
    <w:p w14:paraId="08871455" w14:textId="77777777" w:rsidR="000F44FF" w:rsidRPr="00675794" w:rsidRDefault="000F44FF" w:rsidP="000F44FF">
      <w:pPr>
        <w:pStyle w:val="BodyText"/>
      </w:pPr>
      <w:r w:rsidRPr="00675794">
        <w:t xml:space="preserve">Signed: </w:t>
      </w:r>
      <w:r w:rsidRPr="00675794">
        <w:tab/>
      </w:r>
      <w:r w:rsidRPr="00675794">
        <w:rPr>
          <w:u w:val="single"/>
        </w:rPr>
        <w:tab/>
      </w:r>
      <w:r w:rsidRPr="00675794">
        <w:rPr>
          <w:u w:val="single"/>
        </w:rPr>
        <w:tab/>
      </w:r>
      <w:r w:rsidRPr="00675794">
        <w:rPr>
          <w:u w:val="single"/>
        </w:rPr>
        <w:tab/>
      </w:r>
      <w:r w:rsidRPr="00675794">
        <w:rPr>
          <w:u w:val="single"/>
        </w:rPr>
        <w:tab/>
      </w:r>
      <w:r w:rsidRPr="00675794">
        <w:rPr>
          <w:u w:val="single"/>
        </w:rPr>
        <w:tab/>
      </w:r>
    </w:p>
    <w:p w14:paraId="4123BA46" w14:textId="77777777" w:rsidR="000F44FF" w:rsidRPr="00675794" w:rsidRDefault="000F44FF" w:rsidP="000F44FF">
      <w:pPr>
        <w:pStyle w:val="BodyText"/>
      </w:pPr>
      <w:r w:rsidRPr="00675794">
        <w:t>Name:</w:t>
      </w:r>
      <w:r w:rsidRPr="00675794">
        <w:tab/>
      </w:r>
      <w:r w:rsidRPr="00675794">
        <w:tab/>
      </w:r>
      <w:r w:rsidRPr="00675794">
        <w:rPr>
          <w:u w:val="single"/>
        </w:rPr>
        <w:tab/>
      </w:r>
      <w:r w:rsidRPr="00675794">
        <w:rPr>
          <w:u w:val="single"/>
        </w:rPr>
        <w:tab/>
      </w:r>
      <w:r w:rsidRPr="00675794">
        <w:rPr>
          <w:u w:val="single"/>
        </w:rPr>
        <w:tab/>
      </w:r>
      <w:r w:rsidRPr="00675794">
        <w:rPr>
          <w:u w:val="single"/>
        </w:rPr>
        <w:tab/>
      </w:r>
      <w:r w:rsidRPr="00675794">
        <w:rPr>
          <w:u w:val="single"/>
        </w:rPr>
        <w:tab/>
      </w:r>
    </w:p>
    <w:p w14:paraId="12ADEE84" w14:textId="77777777" w:rsidR="000F44FF" w:rsidRPr="00675794" w:rsidRDefault="000F44FF" w:rsidP="000F44FF">
      <w:pPr>
        <w:pStyle w:val="BodyText"/>
      </w:pPr>
      <w:r w:rsidRPr="00675794">
        <w:t>Title:</w:t>
      </w:r>
      <w:r w:rsidRPr="00675794">
        <w:tab/>
      </w:r>
      <w:r w:rsidRPr="00675794">
        <w:tab/>
      </w:r>
      <w:r w:rsidRPr="00675794">
        <w:rPr>
          <w:u w:val="single"/>
        </w:rPr>
        <w:tab/>
      </w:r>
      <w:r w:rsidRPr="00675794">
        <w:rPr>
          <w:u w:val="single"/>
        </w:rPr>
        <w:tab/>
      </w:r>
      <w:r w:rsidRPr="00675794">
        <w:rPr>
          <w:u w:val="single"/>
        </w:rPr>
        <w:tab/>
      </w:r>
      <w:r w:rsidRPr="00675794">
        <w:rPr>
          <w:u w:val="single"/>
        </w:rPr>
        <w:tab/>
      </w:r>
      <w:r w:rsidRPr="00675794">
        <w:rPr>
          <w:u w:val="single"/>
        </w:rPr>
        <w:tab/>
      </w:r>
    </w:p>
    <w:p w14:paraId="35A404B0" w14:textId="77777777" w:rsidR="000F44FF" w:rsidRPr="00675794" w:rsidRDefault="000F44FF" w:rsidP="000F44FF">
      <w:pPr>
        <w:pStyle w:val="BodyText"/>
      </w:pPr>
      <w:r w:rsidRPr="00675794">
        <w:t>Date:</w:t>
      </w:r>
      <w:r w:rsidRPr="00675794">
        <w:tab/>
      </w:r>
      <w:r w:rsidRPr="00675794">
        <w:tab/>
      </w:r>
      <w:r w:rsidRPr="00675794">
        <w:rPr>
          <w:u w:val="single"/>
        </w:rPr>
        <w:tab/>
      </w:r>
      <w:r w:rsidRPr="00675794">
        <w:rPr>
          <w:u w:val="single"/>
        </w:rPr>
        <w:tab/>
      </w:r>
      <w:r w:rsidRPr="00675794">
        <w:rPr>
          <w:u w:val="single"/>
        </w:rPr>
        <w:tab/>
      </w:r>
      <w:r w:rsidRPr="00675794">
        <w:rPr>
          <w:u w:val="single"/>
        </w:rPr>
        <w:tab/>
      </w:r>
      <w:r w:rsidRPr="00675794">
        <w:rPr>
          <w:u w:val="single"/>
        </w:rPr>
        <w:tab/>
      </w:r>
    </w:p>
    <w:p w14:paraId="5EAF5C0D" w14:textId="77777777" w:rsidR="00D11197" w:rsidRPr="00675794" w:rsidRDefault="00D11197" w:rsidP="00D11197">
      <w:pPr>
        <w:pStyle w:val="BodyText"/>
      </w:pPr>
    </w:p>
    <w:p w14:paraId="086B5689" w14:textId="77777777" w:rsidR="00D11197" w:rsidRPr="00675794" w:rsidRDefault="00D11197" w:rsidP="00D11197">
      <w:pPr>
        <w:pStyle w:val="BodyText"/>
      </w:pPr>
      <w:r w:rsidRPr="00675794">
        <w:t>The purchase order number for the total estimated audit fee is:</w:t>
      </w:r>
    </w:p>
    <w:p w14:paraId="6A64BC69" w14:textId="1ACC0AE5" w:rsidR="000F44FF" w:rsidRPr="00675794" w:rsidRDefault="000F44FF" w:rsidP="00D11197">
      <w:pPr>
        <w:pStyle w:val="BodyText"/>
      </w:pPr>
      <w:r w:rsidRPr="00675794">
        <w:t xml:space="preserve">Purchase Order Number: </w:t>
      </w:r>
      <w:r w:rsidRPr="00675794">
        <w:tab/>
      </w:r>
      <w:r w:rsidRPr="00675794">
        <w:rPr>
          <w:u w:val="single"/>
        </w:rPr>
        <w:tab/>
      </w:r>
      <w:r w:rsidRPr="00675794">
        <w:rPr>
          <w:u w:val="single"/>
        </w:rPr>
        <w:tab/>
      </w:r>
      <w:r w:rsidRPr="00675794">
        <w:rPr>
          <w:u w:val="single"/>
        </w:rPr>
        <w:tab/>
      </w:r>
    </w:p>
    <w:p w14:paraId="6C3BBA33" w14:textId="77777777" w:rsidR="00D11197" w:rsidRPr="00675794" w:rsidRDefault="00D11197" w:rsidP="00D11197">
      <w:pPr>
        <w:sectPr w:rsidR="00D11197" w:rsidRPr="00675794" w:rsidSect="00C60F3E">
          <w:footerReference w:type="default" r:id="rId16"/>
          <w:pgSz w:w="11907" w:h="16840" w:code="9"/>
          <w:pgMar w:top="1418" w:right="1418" w:bottom="1134" w:left="1418" w:header="720" w:footer="720" w:gutter="0"/>
          <w:paperSrc w:first="2" w:other="2"/>
          <w:cols w:space="708"/>
          <w:docGrid w:linePitch="360"/>
        </w:sectPr>
      </w:pPr>
    </w:p>
    <w:p w14:paraId="4A632785" w14:textId="77777777" w:rsidR="00D11197" w:rsidRPr="004767ED" w:rsidRDefault="00D11197" w:rsidP="00D11197">
      <w:pPr>
        <w:pStyle w:val="CoverHeading1"/>
      </w:pPr>
    </w:p>
    <w:p w14:paraId="58EFEFDB" w14:textId="77777777" w:rsidR="00D11197" w:rsidRPr="004767ED" w:rsidRDefault="00D11197" w:rsidP="00D11197">
      <w:pPr>
        <w:pStyle w:val="CoverHeading1"/>
      </w:pPr>
    </w:p>
    <w:p w14:paraId="07D19CE6" w14:textId="20CAC40B" w:rsidR="00D11197" w:rsidRPr="00675794" w:rsidRDefault="00D11197" w:rsidP="00D11197">
      <w:pPr>
        <w:pStyle w:val="CoverHeading1"/>
      </w:pPr>
      <w:r w:rsidRPr="00675794">
        <w:t>Annual</w:t>
      </w:r>
    </w:p>
    <w:p w14:paraId="0F7CCC18" w14:textId="77777777" w:rsidR="00D11197" w:rsidRPr="00675794" w:rsidRDefault="00D11197" w:rsidP="00D11197">
      <w:pPr>
        <w:pStyle w:val="CoverHeading1"/>
      </w:pPr>
      <w:r w:rsidRPr="00675794">
        <w:t xml:space="preserve">Engagement </w:t>
      </w:r>
      <w:r>
        <w:t>Plan</w:t>
      </w:r>
    </w:p>
    <w:p w14:paraId="41AE7276" w14:textId="77777777" w:rsidR="00D11197" w:rsidRPr="00675794" w:rsidRDefault="00D11197" w:rsidP="00D11197">
      <w:pPr>
        <w:pStyle w:val="BodyText"/>
      </w:pPr>
    </w:p>
    <w:p w14:paraId="5C69E61E" w14:textId="77777777" w:rsidR="00D11197" w:rsidRPr="00675794" w:rsidRDefault="00D11197">
      <w:pPr>
        <w:pStyle w:val="CoverHeading2"/>
      </w:pPr>
      <w:r w:rsidRPr="00675794">
        <w:t>for the year ending [</w:t>
      </w:r>
      <w:r w:rsidRPr="00675794">
        <w:rPr>
          <w:rStyle w:val="Italic"/>
        </w:rPr>
        <w:t>date</w:t>
      </w:r>
      <w:r w:rsidRPr="00675794">
        <w:t>]</w:t>
      </w:r>
    </w:p>
    <w:p w14:paraId="65ADF127" w14:textId="77777777" w:rsidR="00D11197" w:rsidRPr="00675794" w:rsidRDefault="00D11197" w:rsidP="00D11197">
      <w:pPr>
        <w:pStyle w:val="BodyText"/>
      </w:pPr>
    </w:p>
    <w:p w14:paraId="5D09405B" w14:textId="77777777" w:rsidR="00D11197" w:rsidRPr="004767ED" w:rsidRDefault="00D11197" w:rsidP="00D11197">
      <w:pPr>
        <w:pStyle w:val="CoverHeading2"/>
      </w:pPr>
      <w:r w:rsidRPr="00675794">
        <w:t>[</w:t>
      </w:r>
      <w:r w:rsidRPr="00675794">
        <w:rPr>
          <w:rStyle w:val="Italic"/>
        </w:rPr>
        <w:t>Auditee Name</w:t>
      </w:r>
      <w:r w:rsidRPr="00675794">
        <w:t>]</w:t>
      </w:r>
    </w:p>
    <w:p w14:paraId="46F6BF12" w14:textId="77777777" w:rsidR="00D11197" w:rsidRPr="00675794" w:rsidRDefault="00D11197" w:rsidP="00D11197">
      <w:pPr>
        <w:pStyle w:val="BodyText"/>
      </w:pPr>
    </w:p>
    <w:p w14:paraId="030CF17B" w14:textId="77777777" w:rsidR="00D11197" w:rsidRPr="00675794" w:rsidRDefault="00D11197" w:rsidP="00D11197">
      <w:pPr>
        <w:pStyle w:val="BodyText"/>
      </w:pPr>
    </w:p>
    <w:p w14:paraId="2298AA4B" w14:textId="77777777" w:rsidR="00D11197" w:rsidRPr="00675794" w:rsidRDefault="00D11197" w:rsidP="00D11197">
      <w:pPr>
        <w:sectPr w:rsidR="00D11197" w:rsidRPr="00675794" w:rsidSect="005920BA">
          <w:headerReference w:type="default" r:id="rId17"/>
          <w:footerReference w:type="default" r:id="rId18"/>
          <w:headerReference w:type="first" r:id="rId19"/>
          <w:footerReference w:type="first" r:id="rId20"/>
          <w:pgSz w:w="11907" w:h="16840" w:code="9"/>
          <w:pgMar w:top="2835" w:right="1418" w:bottom="1134" w:left="1418" w:header="720" w:footer="720" w:gutter="0"/>
          <w:pgNumType w:start="1"/>
          <w:cols w:space="720"/>
          <w:noEndnote/>
          <w:docGrid w:linePitch="272"/>
        </w:sectPr>
      </w:pPr>
    </w:p>
    <w:tbl>
      <w:tblPr>
        <w:tblW w:w="9072" w:type="dxa"/>
        <w:jc w:val="center"/>
        <w:tblLook w:val="04A0" w:firstRow="1" w:lastRow="0" w:firstColumn="1" w:lastColumn="0" w:noHBand="0" w:noVBand="1"/>
      </w:tblPr>
      <w:tblGrid>
        <w:gridCol w:w="3583"/>
        <w:gridCol w:w="1930"/>
        <w:gridCol w:w="3559"/>
      </w:tblGrid>
      <w:tr w:rsidR="00D11197" w:rsidRPr="00675794" w14:paraId="35BD8D2D" w14:textId="77777777" w:rsidTr="00C60F3E">
        <w:trPr>
          <w:jc w:val="center"/>
        </w:trPr>
        <w:tc>
          <w:tcPr>
            <w:tcW w:w="9356" w:type="dxa"/>
            <w:gridSpan w:val="3"/>
          </w:tcPr>
          <w:p w14:paraId="55C9B1F9" w14:textId="77777777" w:rsidR="00D11197" w:rsidRPr="00D11197" w:rsidRDefault="00D11197" w:rsidP="00D11197">
            <w:pPr>
              <w:pStyle w:val="Contentspageheading"/>
            </w:pPr>
            <w:r w:rsidRPr="00675794">
              <w:t>contents</w:t>
            </w:r>
          </w:p>
        </w:tc>
      </w:tr>
      <w:tr w:rsidR="00D11197" w:rsidRPr="00675794" w14:paraId="79F7EF7D" w14:textId="77777777" w:rsidTr="00C60F3E">
        <w:trPr>
          <w:trHeight w:val="161"/>
          <w:jc w:val="center"/>
        </w:trPr>
        <w:tc>
          <w:tcPr>
            <w:tcW w:w="3686" w:type="dxa"/>
          </w:tcPr>
          <w:p w14:paraId="43DDCA85" w14:textId="77777777" w:rsidR="00D11197" w:rsidRPr="00675794" w:rsidRDefault="00D11197" w:rsidP="00D11197"/>
        </w:tc>
        <w:tc>
          <w:tcPr>
            <w:tcW w:w="1984" w:type="dxa"/>
            <w:tcBorders>
              <w:top w:val="single" w:sz="18" w:space="0" w:color="404040"/>
            </w:tcBorders>
          </w:tcPr>
          <w:p w14:paraId="2EAF1B9F" w14:textId="77777777" w:rsidR="00D11197" w:rsidRPr="00675794" w:rsidRDefault="00D11197" w:rsidP="00D11197"/>
        </w:tc>
        <w:tc>
          <w:tcPr>
            <w:tcW w:w="3686" w:type="dxa"/>
          </w:tcPr>
          <w:p w14:paraId="0EC36B4C" w14:textId="77777777" w:rsidR="00D11197" w:rsidRPr="00675794" w:rsidRDefault="00D11197" w:rsidP="00D11197"/>
        </w:tc>
      </w:tr>
    </w:tbl>
    <w:p w14:paraId="37AB870C" w14:textId="77777777" w:rsidR="00D11197" w:rsidRPr="00675794" w:rsidRDefault="00D11197" w:rsidP="00D11197">
      <w:pPr>
        <w:pStyle w:val="BodyText"/>
      </w:pPr>
    </w:p>
    <w:tbl>
      <w:tblPr>
        <w:tblStyle w:val="TableGrid"/>
        <w:tblW w:w="9070" w:type="dxa"/>
        <w:shd w:val="clear" w:color="auto" w:fill="D9D9D9" w:themeFill="background1" w:themeFillShade="D9"/>
        <w:tblLook w:val="04A0" w:firstRow="1" w:lastRow="0" w:firstColumn="1" w:lastColumn="0" w:noHBand="0" w:noVBand="1"/>
      </w:tblPr>
      <w:tblGrid>
        <w:gridCol w:w="9070"/>
      </w:tblGrid>
      <w:tr w:rsidR="00D11197" w:rsidRPr="004767ED" w14:paraId="2A3267EE" w14:textId="77777777" w:rsidTr="00C60F3E">
        <w:tc>
          <w:tcPr>
            <w:tcW w:w="9072" w:type="dxa"/>
            <w:shd w:val="clear" w:color="auto" w:fill="D9D9D9" w:themeFill="background1" w:themeFillShade="D9"/>
          </w:tcPr>
          <w:p w14:paraId="4A689BEB" w14:textId="77777777" w:rsidR="00D11197" w:rsidRPr="00D11197" w:rsidRDefault="00D11197" w:rsidP="00D11197">
            <w:pPr>
              <w:pStyle w:val="Tabletext"/>
              <w:rPr>
                <w:rStyle w:val="Bold"/>
              </w:rPr>
            </w:pPr>
            <w:r w:rsidRPr="004767ED">
              <w:rPr>
                <w:rStyle w:val="Bold"/>
              </w:rPr>
              <w:t xml:space="preserve">Update all fields and Page </w:t>
            </w:r>
            <w:r w:rsidRPr="00D11197">
              <w:rPr>
                <w:rStyle w:val="Bold"/>
              </w:rPr>
              <w:t>Numbers in the table below once the draft is complete.</w:t>
            </w:r>
          </w:p>
        </w:tc>
      </w:tr>
    </w:tbl>
    <w:p w14:paraId="6AC9DBF7" w14:textId="77777777" w:rsidR="00D11197" w:rsidRPr="00675794" w:rsidRDefault="00D11197" w:rsidP="00D11197">
      <w:pPr>
        <w:pStyle w:val="BodyText"/>
      </w:pPr>
    </w:p>
    <w:p w14:paraId="06B25B93" w14:textId="0BA04342" w:rsidR="00A023C0" w:rsidRDefault="00D11197">
      <w:pPr>
        <w:pStyle w:val="TOC1"/>
        <w:tabs>
          <w:tab w:val="left" w:pos="1134"/>
        </w:tabs>
        <w:rPr>
          <w:rFonts w:asciiTheme="minorHAnsi" w:eastAsiaTheme="minorEastAsia" w:hAnsiTheme="minorHAnsi" w:cstheme="minorBidi"/>
          <w:b w:val="0"/>
          <w:sz w:val="22"/>
          <w:szCs w:val="22"/>
          <w:lang w:eastAsia="en-AU"/>
        </w:rPr>
      </w:pPr>
      <w:r w:rsidRPr="00D11197">
        <w:fldChar w:fldCharType="begin"/>
      </w:r>
      <w:r w:rsidRPr="00D11197">
        <w:instrText xml:space="preserve"> TOC \h \z \t "Heading 1 - Numbered RED,1,Heading 1 Red,1" </w:instrText>
      </w:r>
      <w:r w:rsidRPr="00D11197">
        <w:fldChar w:fldCharType="separate"/>
      </w:r>
      <w:hyperlink w:anchor="_Toc14249442" w:history="1">
        <w:r w:rsidR="00A023C0" w:rsidRPr="0008398D">
          <w:rPr>
            <w:rStyle w:val="Hyperlink"/>
            <w:lang w:bidi="x-none"/>
            <w14:scene3d>
              <w14:camera w14:prst="orthographicFront"/>
              <w14:lightRig w14:rig="threePt" w14:dir="t">
                <w14:rot w14:lat="0" w14:lon="0" w14:rev="0"/>
              </w14:lightRig>
            </w14:scene3d>
          </w:rPr>
          <w:t>1.</w:t>
        </w:r>
        <w:r w:rsidR="00A023C0">
          <w:rPr>
            <w:rFonts w:asciiTheme="minorHAnsi" w:eastAsiaTheme="minorEastAsia" w:hAnsiTheme="minorHAnsi" w:cstheme="minorBidi"/>
            <w:b w:val="0"/>
            <w:sz w:val="22"/>
            <w:szCs w:val="22"/>
            <w:lang w:eastAsia="en-AU"/>
          </w:rPr>
          <w:tab/>
        </w:r>
        <w:r w:rsidR="00A023C0" w:rsidRPr="0008398D">
          <w:rPr>
            <w:rStyle w:val="Hyperlink"/>
            <w:lang w:bidi="en-US"/>
          </w:rPr>
          <w:t>SCOPE</w:t>
        </w:r>
        <w:r w:rsidR="00A023C0">
          <w:rPr>
            <w:webHidden/>
          </w:rPr>
          <w:tab/>
        </w:r>
        <w:r w:rsidR="00A023C0">
          <w:rPr>
            <w:webHidden/>
          </w:rPr>
          <w:fldChar w:fldCharType="begin"/>
        </w:r>
        <w:r w:rsidR="00A023C0">
          <w:rPr>
            <w:webHidden/>
          </w:rPr>
          <w:instrText xml:space="preserve"> PAGEREF _Toc14249442 \h </w:instrText>
        </w:r>
        <w:r w:rsidR="00A023C0">
          <w:rPr>
            <w:webHidden/>
          </w:rPr>
        </w:r>
        <w:r w:rsidR="00A023C0">
          <w:rPr>
            <w:webHidden/>
          </w:rPr>
          <w:fldChar w:fldCharType="separate"/>
        </w:r>
        <w:r w:rsidR="00A023C0">
          <w:rPr>
            <w:webHidden/>
          </w:rPr>
          <w:t>1</w:t>
        </w:r>
        <w:r w:rsidR="00A023C0">
          <w:rPr>
            <w:webHidden/>
          </w:rPr>
          <w:fldChar w:fldCharType="end"/>
        </w:r>
      </w:hyperlink>
    </w:p>
    <w:p w14:paraId="036FBB45" w14:textId="15D00123"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3" w:history="1">
        <w:r w:rsidR="00A023C0" w:rsidRPr="0008398D">
          <w:rPr>
            <w:rStyle w:val="Hyperlink"/>
            <w:lang w:bidi="x-none"/>
            <w14:scene3d>
              <w14:camera w14:prst="orthographicFront"/>
              <w14:lightRig w14:rig="threePt" w14:dir="t">
                <w14:rot w14:lat="0" w14:lon="0" w14:rev="0"/>
              </w14:lightRig>
            </w14:scene3d>
          </w:rPr>
          <w:t>2.</w:t>
        </w:r>
        <w:r w:rsidR="00A023C0">
          <w:rPr>
            <w:rFonts w:asciiTheme="minorHAnsi" w:eastAsiaTheme="minorEastAsia" w:hAnsiTheme="minorHAnsi" w:cstheme="minorBidi"/>
            <w:b w:val="0"/>
            <w:sz w:val="22"/>
            <w:szCs w:val="22"/>
            <w:lang w:eastAsia="en-AU"/>
          </w:rPr>
          <w:tab/>
        </w:r>
        <w:r w:rsidR="00A023C0" w:rsidRPr="0008398D">
          <w:rPr>
            <w:rStyle w:val="Hyperlink"/>
            <w:lang w:bidi="en-US"/>
          </w:rPr>
          <w:t>KEY ISSUES</w:t>
        </w:r>
        <w:r w:rsidR="00A023C0">
          <w:rPr>
            <w:webHidden/>
          </w:rPr>
          <w:tab/>
        </w:r>
        <w:r w:rsidR="00A023C0">
          <w:rPr>
            <w:webHidden/>
          </w:rPr>
          <w:fldChar w:fldCharType="begin"/>
        </w:r>
        <w:r w:rsidR="00A023C0">
          <w:rPr>
            <w:webHidden/>
          </w:rPr>
          <w:instrText xml:space="preserve"> PAGEREF _Toc14249443 \h </w:instrText>
        </w:r>
        <w:r w:rsidR="00A023C0">
          <w:rPr>
            <w:webHidden/>
          </w:rPr>
        </w:r>
        <w:r w:rsidR="00A023C0">
          <w:rPr>
            <w:webHidden/>
          </w:rPr>
          <w:fldChar w:fldCharType="separate"/>
        </w:r>
        <w:r w:rsidR="00A023C0">
          <w:rPr>
            <w:webHidden/>
          </w:rPr>
          <w:t>1</w:t>
        </w:r>
        <w:r w:rsidR="00A023C0">
          <w:rPr>
            <w:webHidden/>
          </w:rPr>
          <w:fldChar w:fldCharType="end"/>
        </w:r>
      </w:hyperlink>
    </w:p>
    <w:p w14:paraId="707007A0" w14:textId="773A5433"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4" w:history="1">
        <w:r w:rsidR="00A023C0" w:rsidRPr="0008398D">
          <w:rPr>
            <w:rStyle w:val="Hyperlink"/>
            <w:lang w:bidi="x-none"/>
            <w14:scene3d>
              <w14:camera w14:prst="orthographicFront"/>
              <w14:lightRig w14:rig="threePt" w14:dir="t">
                <w14:rot w14:lat="0" w14:lon="0" w14:rev="0"/>
              </w14:lightRig>
            </w14:scene3d>
          </w:rPr>
          <w:t>3.</w:t>
        </w:r>
        <w:r w:rsidR="00A023C0">
          <w:rPr>
            <w:rFonts w:asciiTheme="minorHAnsi" w:eastAsiaTheme="minorEastAsia" w:hAnsiTheme="minorHAnsi" w:cstheme="minorBidi"/>
            <w:b w:val="0"/>
            <w:sz w:val="22"/>
            <w:szCs w:val="22"/>
            <w:lang w:eastAsia="en-AU"/>
          </w:rPr>
          <w:tab/>
        </w:r>
        <w:r w:rsidR="00A023C0" w:rsidRPr="0008398D">
          <w:rPr>
            <w:rStyle w:val="Hyperlink"/>
            <w:lang w:bidi="en-US"/>
          </w:rPr>
          <w:t>AUDIT APPROACH</w:t>
        </w:r>
        <w:r w:rsidR="00A023C0">
          <w:rPr>
            <w:webHidden/>
          </w:rPr>
          <w:tab/>
        </w:r>
        <w:r w:rsidR="00A023C0">
          <w:rPr>
            <w:webHidden/>
          </w:rPr>
          <w:fldChar w:fldCharType="begin"/>
        </w:r>
        <w:r w:rsidR="00A023C0">
          <w:rPr>
            <w:webHidden/>
          </w:rPr>
          <w:instrText xml:space="preserve"> PAGEREF _Toc14249444 \h </w:instrText>
        </w:r>
        <w:r w:rsidR="00A023C0">
          <w:rPr>
            <w:webHidden/>
          </w:rPr>
        </w:r>
        <w:r w:rsidR="00A023C0">
          <w:rPr>
            <w:webHidden/>
          </w:rPr>
          <w:fldChar w:fldCharType="separate"/>
        </w:r>
        <w:r w:rsidR="00A023C0">
          <w:rPr>
            <w:webHidden/>
          </w:rPr>
          <w:t>3</w:t>
        </w:r>
        <w:r w:rsidR="00A023C0">
          <w:rPr>
            <w:webHidden/>
          </w:rPr>
          <w:fldChar w:fldCharType="end"/>
        </w:r>
      </w:hyperlink>
    </w:p>
    <w:p w14:paraId="14E182DC" w14:textId="15B750AD"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5" w:history="1">
        <w:r w:rsidR="00A023C0" w:rsidRPr="0008398D">
          <w:rPr>
            <w:rStyle w:val="Hyperlink"/>
            <w:lang w:bidi="x-none"/>
            <w14:scene3d>
              <w14:camera w14:prst="orthographicFront"/>
              <w14:lightRig w14:rig="threePt" w14:dir="t">
                <w14:rot w14:lat="0" w14:lon="0" w14:rev="0"/>
              </w14:lightRig>
            </w14:scene3d>
          </w:rPr>
          <w:t>4.</w:t>
        </w:r>
        <w:r w:rsidR="00A023C0">
          <w:rPr>
            <w:rFonts w:asciiTheme="minorHAnsi" w:eastAsiaTheme="minorEastAsia" w:hAnsiTheme="minorHAnsi" w:cstheme="minorBidi"/>
            <w:b w:val="0"/>
            <w:sz w:val="22"/>
            <w:szCs w:val="22"/>
            <w:lang w:eastAsia="en-AU"/>
          </w:rPr>
          <w:tab/>
        </w:r>
        <w:r w:rsidR="00A023C0" w:rsidRPr="0008398D">
          <w:rPr>
            <w:rStyle w:val="Hyperlink"/>
            <w:lang w:bidi="en-US"/>
          </w:rPr>
          <w:t>[EARLY/HARD] CLOSE PROCEDURES</w:t>
        </w:r>
        <w:r w:rsidR="00A023C0">
          <w:rPr>
            <w:webHidden/>
          </w:rPr>
          <w:tab/>
        </w:r>
        <w:r w:rsidR="00A023C0">
          <w:rPr>
            <w:webHidden/>
          </w:rPr>
          <w:fldChar w:fldCharType="begin"/>
        </w:r>
        <w:r w:rsidR="00A023C0">
          <w:rPr>
            <w:webHidden/>
          </w:rPr>
          <w:instrText xml:space="preserve"> PAGEREF _Toc14249445 \h </w:instrText>
        </w:r>
        <w:r w:rsidR="00A023C0">
          <w:rPr>
            <w:webHidden/>
          </w:rPr>
        </w:r>
        <w:r w:rsidR="00A023C0">
          <w:rPr>
            <w:webHidden/>
          </w:rPr>
          <w:fldChar w:fldCharType="separate"/>
        </w:r>
        <w:r w:rsidR="00A023C0">
          <w:rPr>
            <w:webHidden/>
          </w:rPr>
          <w:t>3</w:t>
        </w:r>
        <w:r w:rsidR="00A023C0">
          <w:rPr>
            <w:webHidden/>
          </w:rPr>
          <w:fldChar w:fldCharType="end"/>
        </w:r>
      </w:hyperlink>
    </w:p>
    <w:p w14:paraId="2A65DD9B" w14:textId="63552E4E"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6" w:history="1">
        <w:r w:rsidR="00A023C0" w:rsidRPr="0008398D">
          <w:rPr>
            <w:rStyle w:val="Hyperlink"/>
            <w:lang w:bidi="x-none"/>
            <w14:scene3d>
              <w14:camera w14:prst="orthographicFront"/>
              <w14:lightRig w14:rig="threePt" w14:dir="t">
                <w14:rot w14:lat="0" w14:lon="0" w14:rev="0"/>
              </w14:lightRig>
            </w14:scene3d>
          </w:rPr>
          <w:t>5.</w:t>
        </w:r>
        <w:r w:rsidR="00A023C0">
          <w:rPr>
            <w:rFonts w:asciiTheme="minorHAnsi" w:eastAsiaTheme="minorEastAsia" w:hAnsiTheme="minorHAnsi" w:cstheme="minorBidi"/>
            <w:b w:val="0"/>
            <w:sz w:val="22"/>
            <w:szCs w:val="22"/>
            <w:lang w:eastAsia="en-AU"/>
          </w:rPr>
          <w:tab/>
        </w:r>
        <w:r w:rsidR="00A023C0" w:rsidRPr="0008398D">
          <w:rPr>
            <w:rStyle w:val="Hyperlink"/>
            <w:lang w:bidi="en-US"/>
          </w:rPr>
          <w:t>ENGAGEMENT COMMUNICATIONS</w:t>
        </w:r>
        <w:r w:rsidR="00A023C0">
          <w:rPr>
            <w:webHidden/>
          </w:rPr>
          <w:tab/>
        </w:r>
        <w:r w:rsidR="00A023C0">
          <w:rPr>
            <w:webHidden/>
          </w:rPr>
          <w:fldChar w:fldCharType="begin"/>
        </w:r>
        <w:r w:rsidR="00A023C0">
          <w:rPr>
            <w:webHidden/>
          </w:rPr>
          <w:instrText xml:space="preserve"> PAGEREF _Toc14249446 \h </w:instrText>
        </w:r>
        <w:r w:rsidR="00A023C0">
          <w:rPr>
            <w:webHidden/>
          </w:rPr>
        </w:r>
        <w:r w:rsidR="00A023C0">
          <w:rPr>
            <w:webHidden/>
          </w:rPr>
          <w:fldChar w:fldCharType="separate"/>
        </w:r>
        <w:r w:rsidR="00A023C0">
          <w:rPr>
            <w:webHidden/>
          </w:rPr>
          <w:t>3</w:t>
        </w:r>
        <w:r w:rsidR="00A023C0">
          <w:rPr>
            <w:webHidden/>
          </w:rPr>
          <w:fldChar w:fldCharType="end"/>
        </w:r>
      </w:hyperlink>
    </w:p>
    <w:p w14:paraId="20F3592E" w14:textId="49F6107B"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7" w:history="1">
        <w:r w:rsidR="00A023C0" w:rsidRPr="0008398D">
          <w:rPr>
            <w:rStyle w:val="Hyperlink"/>
            <w:lang w:bidi="x-none"/>
            <w14:scene3d>
              <w14:camera w14:prst="orthographicFront"/>
              <w14:lightRig w14:rig="threePt" w14:dir="t">
                <w14:rot w14:lat="0" w14:lon="0" w14:rev="0"/>
              </w14:lightRig>
            </w14:scene3d>
          </w:rPr>
          <w:t>6.</w:t>
        </w:r>
        <w:r w:rsidR="00A023C0">
          <w:rPr>
            <w:rFonts w:asciiTheme="minorHAnsi" w:eastAsiaTheme="minorEastAsia" w:hAnsiTheme="minorHAnsi" w:cstheme="minorBidi"/>
            <w:b w:val="0"/>
            <w:sz w:val="22"/>
            <w:szCs w:val="22"/>
            <w:lang w:eastAsia="en-AU"/>
          </w:rPr>
          <w:tab/>
        </w:r>
        <w:r w:rsidR="00A023C0" w:rsidRPr="0008398D">
          <w:rPr>
            <w:rStyle w:val="Hyperlink"/>
            <w:lang w:bidi="en-US"/>
          </w:rPr>
          <w:t>ENGAGEMENT TIMETABLE</w:t>
        </w:r>
        <w:r w:rsidR="00A023C0">
          <w:rPr>
            <w:webHidden/>
          </w:rPr>
          <w:tab/>
        </w:r>
        <w:r w:rsidR="00A023C0">
          <w:rPr>
            <w:webHidden/>
          </w:rPr>
          <w:fldChar w:fldCharType="begin"/>
        </w:r>
        <w:r w:rsidR="00A023C0">
          <w:rPr>
            <w:webHidden/>
          </w:rPr>
          <w:instrText xml:space="preserve"> PAGEREF _Toc14249447 \h </w:instrText>
        </w:r>
        <w:r w:rsidR="00A023C0">
          <w:rPr>
            <w:webHidden/>
          </w:rPr>
        </w:r>
        <w:r w:rsidR="00A023C0">
          <w:rPr>
            <w:webHidden/>
          </w:rPr>
          <w:fldChar w:fldCharType="separate"/>
        </w:r>
        <w:r w:rsidR="00A023C0">
          <w:rPr>
            <w:webHidden/>
          </w:rPr>
          <w:t>4</w:t>
        </w:r>
        <w:r w:rsidR="00A023C0">
          <w:rPr>
            <w:webHidden/>
          </w:rPr>
          <w:fldChar w:fldCharType="end"/>
        </w:r>
      </w:hyperlink>
    </w:p>
    <w:p w14:paraId="32B0F355" w14:textId="513C73AE"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8" w:history="1">
        <w:r w:rsidR="00A023C0" w:rsidRPr="0008398D">
          <w:rPr>
            <w:rStyle w:val="Hyperlink"/>
            <w:lang w:bidi="x-none"/>
            <w14:scene3d>
              <w14:camera w14:prst="orthographicFront"/>
              <w14:lightRig w14:rig="threePt" w14:dir="t">
                <w14:rot w14:lat="0" w14:lon="0" w14:rev="0"/>
              </w14:lightRig>
            </w14:scene3d>
          </w:rPr>
          <w:t>7.</w:t>
        </w:r>
        <w:r w:rsidR="00A023C0">
          <w:rPr>
            <w:rFonts w:asciiTheme="minorHAnsi" w:eastAsiaTheme="minorEastAsia" w:hAnsiTheme="minorHAnsi" w:cstheme="minorBidi"/>
            <w:b w:val="0"/>
            <w:sz w:val="22"/>
            <w:szCs w:val="22"/>
            <w:lang w:eastAsia="en-AU"/>
          </w:rPr>
          <w:tab/>
        </w:r>
        <w:r w:rsidR="00A023C0" w:rsidRPr="0008398D">
          <w:rPr>
            <w:rStyle w:val="Hyperlink"/>
            <w:lang w:bidi="en-US"/>
          </w:rPr>
          <w:t>OTHER ENGAGEMENTS</w:t>
        </w:r>
        <w:r w:rsidR="00A023C0">
          <w:rPr>
            <w:webHidden/>
          </w:rPr>
          <w:tab/>
        </w:r>
        <w:r w:rsidR="00A023C0">
          <w:rPr>
            <w:webHidden/>
          </w:rPr>
          <w:fldChar w:fldCharType="begin"/>
        </w:r>
        <w:r w:rsidR="00A023C0">
          <w:rPr>
            <w:webHidden/>
          </w:rPr>
          <w:instrText xml:space="preserve"> PAGEREF _Toc14249448 \h </w:instrText>
        </w:r>
        <w:r w:rsidR="00A023C0">
          <w:rPr>
            <w:webHidden/>
          </w:rPr>
        </w:r>
        <w:r w:rsidR="00A023C0">
          <w:rPr>
            <w:webHidden/>
          </w:rPr>
          <w:fldChar w:fldCharType="separate"/>
        </w:r>
        <w:r w:rsidR="00A023C0">
          <w:rPr>
            <w:webHidden/>
          </w:rPr>
          <w:t>6</w:t>
        </w:r>
        <w:r w:rsidR="00A023C0">
          <w:rPr>
            <w:webHidden/>
          </w:rPr>
          <w:fldChar w:fldCharType="end"/>
        </w:r>
      </w:hyperlink>
    </w:p>
    <w:p w14:paraId="4973D181" w14:textId="6B699213"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49" w:history="1">
        <w:r w:rsidR="00A023C0" w:rsidRPr="0008398D">
          <w:rPr>
            <w:rStyle w:val="Hyperlink"/>
            <w:lang w:bidi="x-none"/>
            <w14:scene3d>
              <w14:camera w14:prst="orthographicFront"/>
              <w14:lightRig w14:rig="threePt" w14:dir="t">
                <w14:rot w14:lat="0" w14:lon="0" w14:rev="0"/>
              </w14:lightRig>
            </w14:scene3d>
          </w:rPr>
          <w:t>8.</w:t>
        </w:r>
        <w:r w:rsidR="00A023C0">
          <w:rPr>
            <w:rFonts w:asciiTheme="minorHAnsi" w:eastAsiaTheme="minorEastAsia" w:hAnsiTheme="minorHAnsi" w:cstheme="minorBidi"/>
            <w:b w:val="0"/>
            <w:sz w:val="22"/>
            <w:szCs w:val="22"/>
            <w:lang w:eastAsia="en-AU"/>
          </w:rPr>
          <w:tab/>
        </w:r>
        <w:r w:rsidR="00A023C0" w:rsidRPr="0008398D">
          <w:rPr>
            <w:rStyle w:val="Hyperlink"/>
            <w:lang w:bidi="en-US"/>
          </w:rPr>
          <w:t>ENGAGEMENT FEES</w:t>
        </w:r>
        <w:r w:rsidR="00A023C0">
          <w:rPr>
            <w:webHidden/>
          </w:rPr>
          <w:tab/>
        </w:r>
        <w:r w:rsidR="00A023C0">
          <w:rPr>
            <w:webHidden/>
          </w:rPr>
          <w:fldChar w:fldCharType="begin"/>
        </w:r>
        <w:r w:rsidR="00A023C0">
          <w:rPr>
            <w:webHidden/>
          </w:rPr>
          <w:instrText xml:space="preserve"> PAGEREF _Toc14249449 \h </w:instrText>
        </w:r>
        <w:r w:rsidR="00A023C0">
          <w:rPr>
            <w:webHidden/>
          </w:rPr>
        </w:r>
        <w:r w:rsidR="00A023C0">
          <w:rPr>
            <w:webHidden/>
          </w:rPr>
          <w:fldChar w:fldCharType="separate"/>
        </w:r>
        <w:r w:rsidR="00A023C0">
          <w:rPr>
            <w:webHidden/>
          </w:rPr>
          <w:t>6</w:t>
        </w:r>
        <w:r w:rsidR="00A023C0">
          <w:rPr>
            <w:webHidden/>
          </w:rPr>
          <w:fldChar w:fldCharType="end"/>
        </w:r>
      </w:hyperlink>
    </w:p>
    <w:p w14:paraId="7B392298" w14:textId="63C77E80"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50" w:history="1">
        <w:r w:rsidR="00A023C0" w:rsidRPr="0008398D">
          <w:rPr>
            <w:rStyle w:val="Hyperlink"/>
            <w:lang w:bidi="x-none"/>
            <w14:scene3d>
              <w14:camera w14:prst="orthographicFront"/>
              <w14:lightRig w14:rig="threePt" w14:dir="t">
                <w14:rot w14:lat="0" w14:lon="0" w14:rev="0"/>
              </w14:lightRig>
            </w14:scene3d>
          </w:rPr>
          <w:t>9.</w:t>
        </w:r>
        <w:r w:rsidR="00A023C0">
          <w:rPr>
            <w:rFonts w:asciiTheme="minorHAnsi" w:eastAsiaTheme="minorEastAsia" w:hAnsiTheme="minorHAnsi" w:cstheme="minorBidi"/>
            <w:b w:val="0"/>
            <w:sz w:val="22"/>
            <w:szCs w:val="22"/>
            <w:lang w:eastAsia="en-AU"/>
          </w:rPr>
          <w:tab/>
        </w:r>
        <w:r w:rsidR="00A023C0" w:rsidRPr="0008398D">
          <w:rPr>
            <w:rStyle w:val="Hyperlink"/>
            <w:lang w:bidi="en-US"/>
          </w:rPr>
          <w:t>ENGAGEMENT TEAM</w:t>
        </w:r>
        <w:r w:rsidR="00A023C0">
          <w:rPr>
            <w:webHidden/>
          </w:rPr>
          <w:tab/>
        </w:r>
        <w:r w:rsidR="00A023C0">
          <w:rPr>
            <w:webHidden/>
          </w:rPr>
          <w:fldChar w:fldCharType="begin"/>
        </w:r>
        <w:r w:rsidR="00A023C0">
          <w:rPr>
            <w:webHidden/>
          </w:rPr>
          <w:instrText xml:space="preserve"> PAGEREF _Toc14249450 \h </w:instrText>
        </w:r>
        <w:r w:rsidR="00A023C0">
          <w:rPr>
            <w:webHidden/>
          </w:rPr>
        </w:r>
        <w:r w:rsidR="00A023C0">
          <w:rPr>
            <w:webHidden/>
          </w:rPr>
          <w:fldChar w:fldCharType="separate"/>
        </w:r>
        <w:r w:rsidR="00A023C0">
          <w:rPr>
            <w:webHidden/>
          </w:rPr>
          <w:t>7</w:t>
        </w:r>
        <w:r w:rsidR="00A023C0">
          <w:rPr>
            <w:webHidden/>
          </w:rPr>
          <w:fldChar w:fldCharType="end"/>
        </w:r>
      </w:hyperlink>
    </w:p>
    <w:p w14:paraId="59F10E2A" w14:textId="660E8989"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51" w:history="1">
        <w:r w:rsidR="00A023C0" w:rsidRPr="0008398D">
          <w:rPr>
            <w:rStyle w:val="Hyperlink"/>
            <w:lang w:bidi="x-none"/>
            <w14:scene3d>
              <w14:camera w14:prst="orthographicFront"/>
              <w14:lightRig w14:rig="threePt" w14:dir="t">
                <w14:rot w14:lat="0" w14:lon="0" w14:rev="0"/>
              </w14:lightRig>
            </w14:scene3d>
          </w:rPr>
          <w:t>10.</w:t>
        </w:r>
        <w:r w:rsidR="00A023C0">
          <w:rPr>
            <w:rFonts w:asciiTheme="minorHAnsi" w:eastAsiaTheme="minorEastAsia" w:hAnsiTheme="minorHAnsi" w:cstheme="minorBidi"/>
            <w:b w:val="0"/>
            <w:sz w:val="22"/>
            <w:szCs w:val="22"/>
            <w:lang w:eastAsia="en-AU"/>
          </w:rPr>
          <w:tab/>
        </w:r>
        <w:r w:rsidR="00A023C0" w:rsidRPr="0008398D">
          <w:rPr>
            <w:rStyle w:val="Hyperlink"/>
            <w:lang w:bidi="en-US"/>
          </w:rPr>
          <w:t>FINANCIAL REPORTING MATTERS</w:t>
        </w:r>
        <w:r w:rsidR="00A023C0">
          <w:rPr>
            <w:webHidden/>
          </w:rPr>
          <w:tab/>
        </w:r>
        <w:r w:rsidR="00A023C0">
          <w:rPr>
            <w:webHidden/>
          </w:rPr>
          <w:fldChar w:fldCharType="begin"/>
        </w:r>
        <w:r w:rsidR="00A023C0">
          <w:rPr>
            <w:webHidden/>
          </w:rPr>
          <w:instrText xml:space="preserve"> PAGEREF _Toc14249451 \h </w:instrText>
        </w:r>
        <w:r w:rsidR="00A023C0">
          <w:rPr>
            <w:webHidden/>
          </w:rPr>
        </w:r>
        <w:r w:rsidR="00A023C0">
          <w:rPr>
            <w:webHidden/>
          </w:rPr>
          <w:fldChar w:fldCharType="separate"/>
        </w:r>
        <w:r w:rsidR="00A023C0">
          <w:rPr>
            <w:webHidden/>
          </w:rPr>
          <w:t>8</w:t>
        </w:r>
        <w:r w:rsidR="00A023C0">
          <w:rPr>
            <w:webHidden/>
          </w:rPr>
          <w:fldChar w:fldCharType="end"/>
        </w:r>
      </w:hyperlink>
    </w:p>
    <w:p w14:paraId="0FB93F4C" w14:textId="0EDD1E71"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52" w:history="1">
        <w:r w:rsidR="00A023C0" w:rsidRPr="0008398D">
          <w:rPr>
            <w:rStyle w:val="Hyperlink"/>
            <w:lang w:bidi="x-none"/>
            <w14:scene3d>
              <w14:camera w14:prst="orthographicFront"/>
              <w14:lightRig w14:rig="threePt" w14:dir="t">
                <w14:rot w14:lat="0" w14:lon="0" w14:rev="0"/>
              </w14:lightRig>
            </w14:scene3d>
          </w:rPr>
          <w:t>11.</w:t>
        </w:r>
        <w:r w:rsidR="00A023C0">
          <w:rPr>
            <w:rFonts w:asciiTheme="minorHAnsi" w:eastAsiaTheme="minorEastAsia" w:hAnsiTheme="minorHAnsi" w:cstheme="minorBidi"/>
            <w:b w:val="0"/>
            <w:sz w:val="22"/>
            <w:szCs w:val="22"/>
            <w:lang w:eastAsia="en-AU"/>
          </w:rPr>
          <w:tab/>
        </w:r>
        <w:r w:rsidR="00A023C0" w:rsidRPr="0008398D">
          <w:rPr>
            <w:rStyle w:val="Hyperlink"/>
            <w:lang w:bidi="en-US"/>
          </w:rPr>
          <w:t>REPORTING TO PARLIAMENT</w:t>
        </w:r>
        <w:r w:rsidR="00A023C0">
          <w:rPr>
            <w:webHidden/>
          </w:rPr>
          <w:tab/>
        </w:r>
        <w:r w:rsidR="00A023C0">
          <w:rPr>
            <w:webHidden/>
          </w:rPr>
          <w:fldChar w:fldCharType="begin"/>
        </w:r>
        <w:r w:rsidR="00A023C0">
          <w:rPr>
            <w:webHidden/>
          </w:rPr>
          <w:instrText xml:space="preserve"> PAGEREF _Toc14249452 \h </w:instrText>
        </w:r>
        <w:r w:rsidR="00A023C0">
          <w:rPr>
            <w:webHidden/>
          </w:rPr>
        </w:r>
        <w:r w:rsidR="00A023C0">
          <w:rPr>
            <w:webHidden/>
          </w:rPr>
          <w:fldChar w:fldCharType="separate"/>
        </w:r>
        <w:r w:rsidR="00A023C0">
          <w:rPr>
            <w:webHidden/>
          </w:rPr>
          <w:t>8</w:t>
        </w:r>
        <w:r w:rsidR="00A023C0">
          <w:rPr>
            <w:webHidden/>
          </w:rPr>
          <w:fldChar w:fldCharType="end"/>
        </w:r>
      </w:hyperlink>
    </w:p>
    <w:p w14:paraId="50BDF883" w14:textId="28DF63AE" w:rsidR="00A023C0" w:rsidRDefault="00B6415A">
      <w:pPr>
        <w:pStyle w:val="TOC1"/>
        <w:tabs>
          <w:tab w:val="left" w:pos="1134"/>
        </w:tabs>
        <w:rPr>
          <w:rFonts w:asciiTheme="minorHAnsi" w:eastAsiaTheme="minorEastAsia" w:hAnsiTheme="minorHAnsi" w:cstheme="minorBidi"/>
          <w:b w:val="0"/>
          <w:sz w:val="22"/>
          <w:szCs w:val="22"/>
          <w:lang w:eastAsia="en-AU"/>
        </w:rPr>
      </w:pPr>
      <w:hyperlink w:anchor="_Toc14249453" w:history="1">
        <w:r w:rsidR="00A023C0" w:rsidRPr="0008398D">
          <w:rPr>
            <w:rStyle w:val="Hyperlink"/>
            <w:lang w:bidi="x-none"/>
            <w14:scene3d>
              <w14:camera w14:prst="orthographicFront"/>
              <w14:lightRig w14:rig="threePt" w14:dir="t">
                <w14:rot w14:lat="0" w14:lon="0" w14:rev="0"/>
              </w14:lightRig>
            </w14:scene3d>
          </w:rPr>
          <w:t>12.</w:t>
        </w:r>
        <w:r w:rsidR="00A023C0">
          <w:rPr>
            <w:rFonts w:asciiTheme="minorHAnsi" w:eastAsiaTheme="minorEastAsia" w:hAnsiTheme="minorHAnsi" w:cstheme="minorBidi"/>
            <w:b w:val="0"/>
            <w:sz w:val="22"/>
            <w:szCs w:val="22"/>
            <w:lang w:eastAsia="en-AU"/>
          </w:rPr>
          <w:tab/>
        </w:r>
        <w:r w:rsidR="00A023C0" w:rsidRPr="0008398D">
          <w:rPr>
            <w:rStyle w:val="Hyperlink"/>
            <w:lang w:bidi="en-US"/>
          </w:rPr>
          <w:t>OTHER MATTERS</w:t>
        </w:r>
        <w:r w:rsidR="00A023C0">
          <w:rPr>
            <w:webHidden/>
          </w:rPr>
          <w:tab/>
        </w:r>
        <w:r w:rsidR="00A023C0">
          <w:rPr>
            <w:webHidden/>
          </w:rPr>
          <w:fldChar w:fldCharType="begin"/>
        </w:r>
        <w:r w:rsidR="00A023C0">
          <w:rPr>
            <w:webHidden/>
          </w:rPr>
          <w:instrText xml:space="preserve"> PAGEREF _Toc14249453 \h </w:instrText>
        </w:r>
        <w:r w:rsidR="00A023C0">
          <w:rPr>
            <w:webHidden/>
          </w:rPr>
        </w:r>
        <w:r w:rsidR="00A023C0">
          <w:rPr>
            <w:webHidden/>
          </w:rPr>
          <w:fldChar w:fldCharType="separate"/>
        </w:r>
        <w:r w:rsidR="00A023C0">
          <w:rPr>
            <w:webHidden/>
          </w:rPr>
          <w:t>9</w:t>
        </w:r>
        <w:r w:rsidR="00A023C0">
          <w:rPr>
            <w:webHidden/>
          </w:rPr>
          <w:fldChar w:fldCharType="end"/>
        </w:r>
      </w:hyperlink>
    </w:p>
    <w:p w14:paraId="22F39262" w14:textId="55580D51" w:rsidR="00A023C0" w:rsidRDefault="00B6415A">
      <w:pPr>
        <w:pStyle w:val="TOC1"/>
        <w:rPr>
          <w:rFonts w:asciiTheme="minorHAnsi" w:eastAsiaTheme="minorEastAsia" w:hAnsiTheme="minorHAnsi" w:cstheme="minorBidi"/>
          <w:b w:val="0"/>
          <w:sz w:val="22"/>
          <w:szCs w:val="22"/>
          <w:lang w:eastAsia="en-AU"/>
        </w:rPr>
      </w:pPr>
      <w:hyperlink w:anchor="_Toc14249454" w:history="1">
        <w:r w:rsidR="00A023C0" w:rsidRPr="0008398D">
          <w:rPr>
            <w:rStyle w:val="Hyperlink"/>
            <w:lang w:bidi="en-US"/>
          </w:rPr>
          <w:t>APPENDIX ONE – AUDIT APPROACH FOR KEY BUSINESS AND ACCOUNTING PROCESSES</w:t>
        </w:r>
        <w:r w:rsidR="00A023C0">
          <w:rPr>
            <w:webHidden/>
          </w:rPr>
          <w:tab/>
        </w:r>
        <w:r w:rsidR="00A023C0">
          <w:rPr>
            <w:webHidden/>
          </w:rPr>
          <w:fldChar w:fldCharType="begin"/>
        </w:r>
        <w:r w:rsidR="00A023C0">
          <w:rPr>
            <w:webHidden/>
          </w:rPr>
          <w:instrText xml:space="preserve"> PAGEREF _Toc14249454 \h </w:instrText>
        </w:r>
        <w:r w:rsidR="00A023C0">
          <w:rPr>
            <w:webHidden/>
          </w:rPr>
        </w:r>
        <w:r w:rsidR="00A023C0">
          <w:rPr>
            <w:webHidden/>
          </w:rPr>
          <w:fldChar w:fldCharType="separate"/>
        </w:r>
        <w:r w:rsidR="00A023C0">
          <w:rPr>
            <w:webHidden/>
          </w:rPr>
          <w:t>11</w:t>
        </w:r>
        <w:r w:rsidR="00A023C0">
          <w:rPr>
            <w:webHidden/>
          </w:rPr>
          <w:fldChar w:fldCharType="end"/>
        </w:r>
      </w:hyperlink>
    </w:p>
    <w:p w14:paraId="75437671" w14:textId="3DA84F17" w:rsidR="00A023C0" w:rsidRDefault="00B6415A">
      <w:pPr>
        <w:pStyle w:val="TOC1"/>
        <w:rPr>
          <w:rFonts w:asciiTheme="minorHAnsi" w:eastAsiaTheme="minorEastAsia" w:hAnsiTheme="minorHAnsi" w:cstheme="minorBidi"/>
          <w:b w:val="0"/>
          <w:sz w:val="22"/>
          <w:szCs w:val="22"/>
          <w:lang w:eastAsia="en-AU"/>
        </w:rPr>
      </w:pPr>
      <w:hyperlink w:anchor="_Toc14249455" w:history="1">
        <w:r w:rsidR="00A023C0" w:rsidRPr="0008398D">
          <w:rPr>
            <w:rStyle w:val="Hyperlink"/>
            <w:lang w:bidi="en-US"/>
          </w:rPr>
          <w:t>APPENDIX TWO – FINANCIAL REPORTING DEVELOPMENTS</w:t>
        </w:r>
        <w:r w:rsidR="00A023C0">
          <w:rPr>
            <w:webHidden/>
          </w:rPr>
          <w:tab/>
        </w:r>
        <w:r w:rsidR="00A023C0">
          <w:rPr>
            <w:webHidden/>
          </w:rPr>
          <w:fldChar w:fldCharType="begin"/>
        </w:r>
        <w:r w:rsidR="00A023C0">
          <w:rPr>
            <w:webHidden/>
          </w:rPr>
          <w:instrText xml:space="preserve"> PAGEREF _Toc14249455 \h </w:instrText>
        </w:r>
        <w:r w:rsidR="00A023C0">
          <w:rPr>
            <w:webHidden/>
          </w:rPr>
        </w:r>
        <w:r w:rsidR="00A023C0">
          <w:rPr>
            <w:webHidden/>
          </w:rPr>
          <w:fldChar w:fldCharType="separate"/>
        </w:r>
        <w:r w:rsidR="00A023C0">
          <w:rPr>
            <w:webHidden/>
          </w:rPr>
          <w:t>14</w:t>
        </w:r>
        <w:r w:rsidR="00A023C0">
          <w:rPr>
            <w:webHidden/>
          </w:rPr>
          <w:fldChar w:fldCharType="end"/>
        </w:r>
      </w:hyperlink>
    </w:p>
    <w:p w14:paraId="3823B9C6" w14:textId="6D913ED7" w:rsidR="00A023C0" w:rsidRDefault="00B6415A">
      <w:pPr>
        <w:pStyle w:val="TOC1"/>
        <w:rPr>
          <w:rFonts w:asciiTheme="minorHAnsi" w:eastAsiaTheme="minorEastAsia" w:hAnsiTheme="minorHAnsi" w:cstheme="minorBidi"/>
          <w:b w:val="0"/>
          <w:sz w:val="22"/>
          <w:szCs w:val="22"/>
          <w:lang w:eastAsia="en-AU"/>
        </w:rPr>
      </w:pPr>
      <w:hyperlink w:anchor="_Toc14249456" w:history="1">
        <w:r w:rsidR="00A023C0" w:rsidRPr="0008398D">
          <w:rPr>
            <w:rStyle w:val="Hyperlink"/>
            <w:lang w:bidi="en-US"/>
          </w:rPr>
          <w:t>APPENDIX THREE – RECENTLY TABLED AUDITOR</w:t>
        </w:r>
        <w:r w:rsidR="00A023C0" w:rsidRPr="0008398D">
          <w:rPr>
            <w:rStyle w:val="Hyperlink"/>
            <w:lang w:bidi="en-US"/>
          </w:rPr>
          <w:noBreakHyphen/>
          <w:t>GENERAL’S REPORTS TO PARLIAMENT</w:t>
        </w:r>
        <w:r w:rsidR="00A023C0">
          <w:rPr>
            <w:webHidden/>
          </w:rPr>
          <w:tab/>
        </w:r>
        <w:r w:rsidR="00A023C0">
          <w:rPr>
            <w:webHidden/>
          </w:rPr>
          <w:fldChar w:fldCharType="begin"/>
        </w:r>
        <w:r w:rsidR="00A023C0">
          <w:rPr>
            <w:webHidden/>
          </w:rPr>
          <w:instrText xml:space="preserve"> PAGEREF _Toc14249456 \h </w:instrText>
        </w:r>
        <w:r w:rsidR="00A023C0">
          <w:rPr>
            <w:webHidden/>
          </w:rPr>
        </w:r>
        <w:r w:rsidR="00A023C0">
          <w:rPr>
            <w:webHidden/>
          </w:rPr>
          <w:fldChar w:fldCharType="separate"/>
        </w:r>
        <w:r w:rsidR="00A023C0">
          <w:rPr>
            <w:webHidden/>
          </w:rPr>
          <w:t>18</w:t>
        </w:r>
        <w:r w:rsidR="00A023C0">
          <w:rPr>
            <w:webHidden/>
          </w:rPr>
          <w:fldChar w:fldCharType="end"/>
        </w:r>
      </w:hyperlink>
    </w:p>
    <w:p w14:paraId="5DF928E4" w14:textId="3CA7A6AF" w:rsidR="00D11197" w:rsidRPr="00675794" w:rsidRDefault="00D11197" w:rsidP="00D11197">
      <w:pPr>
        <w:sectPr w:rsidR="00D11197" w:rsidRPr="00675794" w:rsidSect="00C60F3E">
          <w:headerReference w:type="default" r:id="rId21"/>
          <w:footerReference w:type="default" r:id="rId22"/>
          <w:pgSz w:w="11907" w:h="16840" w:code="9"/>
          <w:pgMar w:top="1418" w:right="1418" w:bottom="1134" w:left="1418" w:header="720" w:footer="720" w:gutter="0"/>
          <w:cols w:space="708"/>
          <w:docGrid w:linePitch="360"/>
        </w:sectPr>
      </w:pPr>
      <w:r w:rsidRPr="00D11197">
        <w:fldChar w:fldCharType="end"/>
      </w:r>
    </w:p>
    <w:p w14:paraId="3AA299C8" w14:textId="77777777" w:rsidR="00D11197" w:rsidRPr="00D11197" w:rsidRDefault="00D11197" w:rsidP="00D11197">
      <w:pPr>
        <w:pStyle w:val="Heading1-NumberedRED"/>
      </w:pPr>
      <w:bookmarkStart w:id="3" w:name="_Toc14249442"/>
      <w:r w:rsidRPr="00675794">
        <w:t>S</w:t>
      </w:r>
      <w:r w:rsidRPr="00D11197">
        <w:t>COPE</w:t>
      </w:r>
      <w:bookmarkEnd w:id="3"/>
    </w:p>
    <w:p w14:paraId="0AF2572A" w14:textId="77FE06E2" w:rsidR="00D11197" w:rsidRPr="00675794" w:rsidRDefault="00D11197" w:rsidP="00D11197">
      <w:pPr>
        <w:pStyle w:val="BodyText"/>
      </w:pPr>
      <w:r w:rsidRPr="00675794">
        <w:t xml:space="preserve">This Annual Engagement </w:t>
      </w:r>
      <w:r>
        <w:t>Plan</w:t>
      </w:r>
      <w:r w:rsidRPr="00675794">
        <w:t xml:space="preserve"> (AE</w:t>
      </w:r>
      <w:r>
        <w:t>P</w:t>
      </w:r>
      <w:r w:rsidRPr="00675794">
        <w:t>) contains important information about this year’s audit.</w:t>
      </w:r>
    </w:p>
    <w:p w14:paraId="0E06A101" w14:textId="77777777" w:rsidR="00D11197" w:rsidRPr="00675794" w:rsidRDefault="00D11197" w:rsidP="00D11197">
      <w:pPr>
        <w:pStyle w:val="BodyText"/>
      </w:pPr>
      <w:r w:rsidRPr="00675794">
        <w:t>The scope of our audit comprises:</w:t>
      </w:r>
    </w:p>
    <w:p w14:paraId="2F5B666D" w14:textId="675AF440" w:rsidR="00D11197" w:rsidRPr="00BC25FF" w:rsidRDefault="00D11197" w:rsidP="00D11197">
      <w:pPr>
        <w:pStyle w:val="Bullet1stlevel"/>
      </w:pPr>
      <w:r w:rsidRPr="00675794">
        <w:t>an Independent Auditor’s Report on the [</w:t>
      </w:r>
      <w:r w:rsidRPr="00BC25FF">
        <w:rPr>
          <w:rStyle w:val="Italic"/>
        </w:rPr>
        <w:t>Auditee Name</w:t>
      </w:r>
      <w:r w:rsidRPr="00BC25FF">
        <w:t>]’s (the [</w:t>
      </w:r>
      <w:r w:rsidRPr="00BC25FF">
        <w:rPr>
          <w:rStyle w:val="Italic"/>
        </w:rPr>
        <w:t>abbreviated name</w:t>
      </w:r>
      <w:r w:rsidRPr="00BC25FF">
        <w:t xml:space="preserve">]) general purpose financial statements in accordance with section [41C/45F] of the </w:t>
      </w:r>
      <w:r w:rsidR="00F95062" w:rsidRPr="00F95062">
        <w:rPr>
          <w:rStyle w:val="Italic"/>
        </w:rPr>
        <w:t>Public Finance and Audit Act 1983</w:t>
      </w:r>
      <w:r w:rsidRPr="00BC25FF">
        <w:t xml:space="preserve"> (PF&amp;A Act)</w:t>
      </w:r>
    </w:p>
    <w:p w14:paraId="60752CE0" w14:textId="77777777" w:rsidR="00D11197" w:rsidRPr="00BC25FF" w:rsidRDefault="00D11197" w:rsidP="00D11197">
      <w:pPr>
        <w:pStyle w:val="Bullet1stlevel"/>
      </w:pPr>
      <w:r w:rsidRPr="00675794">
        <w:t>Independent Auditor’s Report(s) for the engagements listed under section [</w:t>
      </w:r>
      <w:r>
        <w:t>7</w:t>
      </w:r>
      <w:r w:rsidRPr="00BC25FF">
        <w:t>] Other engagements</w:t>
      </w:r>
    </w:p>
    <w:p w14:paraId="0A477FF2" w14:textId="77777777" w:rsidR="00D11197" w:rsidRPr="00BC25FF" w:rsidRDefault="00D11197" w:rsidP="00D11197">
      <w:pPr>
        <w:pStyle w:val="Bullet1stlevel"/>
      </w:pPr>
      <w:r w:rsidRPr="00675794">
        <w:t>[</w:t>
      </w:r>
      <w:r w:rsidRPr="00BC25FF">
        <w:rPr>
          <w:rStyle w:val="Italic"/>
        </w:rPr>
        <w:t>insert the name(s) of other engagements performed</w:t>
      </w:r>
      <w:r w:rsidRPr="00BC25FF">
        <w:t>].</w:t>
      </w:r>
    </w:p>
    <w:p w14:paraId="74040FF9" w14:textId="77777777" w:rsidR="00D11197" w:rsidRPr="00675794" w:rsidRDefault="00D11197" w:rsidP="00D11197">
      <w:pPr>
        <w:pStyle w:val="SingleLineText-Half"/>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00" w:firstRow="0" w:lastRow="0" w:firstColumn="0" w:lastColumn="0" w:noHBand="0" w:noVBand="0"/>
      </w:tblPr>
      <w:tblGrid>
        <w:gridCol w:w="9070"/>
      </w:tblGrid>
      <w:tr w:rsidR="00D11197" w:rsidRPr="00675794" w14:paraId="38E99AAA" w14:textId="77777777" w:rsidTr="00C60F3E">
        <w:trPr>
          <w:trHeight w:val="272"/>
        </w:trPr>
        <w:tc>
          <w:tcPr>
            <w:tcW w:w="5000" w:type="pct"/>
            <w:shd w:val="clear" w:color="auto" w:fill="D9D9D9" w:themeFill="background1" w:themeFillShade="D9"/>
          </w:tcPr>
          <w:p w14:paraId="5AE5B1FA" w14:textId="77777777" w:rsidR="00D11197" w:rsidRPr="00D11197" w:rsidRDefault="00D11197" w:rsidP="00D11197">
            <w:pPr>
              <w:pStyle w:val="Tabletext"/>
              <w:rPr>
                <w:rStyle w:val="Bold"/>
              </w:rPr>
            </w:pPr>
            <w:r w:rsidRPr="00675794">
              <w:rPr>
                <w:rStyle w:val="Bold"/>
              </w:rPr>
              <w:t xml:space="preserve">Include the appropriate paragraph below. Tailor paragraph as required. </w:t>
            </w:r>
          </w:p>
        </w:tc>
      </w:tr>
    </w:tbl>
    <w:p w14:paraId="74DF333D" w14:textId="77777777" w:rsidR="00D11197" w:rsidRPr="00675794" w:rsidRDefault="00D11197" w:rsidP="00D11197">
      <w:pPr>
        <w:pStyle w:val="BodyText"/>
      </w:pPr>
    </w:p>
    <w:p w14:paraId="31BD8FF1" w14:textId="77777777" w:rsidR="00D11197" w:rsidRPr="00675794" w:rsidRDefault="00D11197" w:rsidP="00D11197">
      <w:pPr>
        <w:pStyle w:val="BodyText"/>
      </w:pPr>
      <w:r w:rsidRPr="00675794">
        <w:t>This AE</w:t>
      </w:r>
      <w:r>
        <w:t>P</w:t>
      </w:r>
      <w:r w:rsidRPr="00675794">
        <w:t xml:space="preserve"> is for the audit of the financial statements of [</w:t>
      </w:r>
      <w:r w:rsidRPr="00675794">
        <w:rPr>
          <w:rStyle w:val="Italic"/>
        </w:rPr>
        <w:t>Parent Entity Name</w:t>
      </w:r>
      <w:r w:rsidRPr="00675794">
        <w:t>] only. A separate AE</w:t>
      </w:r>
      <w:r>
        <w:t>P</w:t>
      </w:r>
      <w:r w:rsidRPr="00675794">
        <w:t xml:space="preserve"> will be issued for each of [</w:t>
      </w:r>
      <w:r w:rsidRPr="00675794">
        <w:rPr>
          <w:rStyle w:val="Italic"/>
        </w:rPr>
        <w:t>Parent Entity’s Name</w:t>
      </w:r>
      <w:r w:rsidRPr="00675794">
        <w:t>]’s controlled entities:</w:t>
      </w:r>
    </w:p>
    <w:p w14:paraId="5047CFDD" w14:textId="77777777" w:rsidR="00D11197" w:rsidRPr="00BC25FF" w:rsidRDefault="00D11197" w:rsidP="00D11197">
      <w:pPr>
        <w:pStyle w:val="Bullet1stlevel"/>
      </w:pPr>
      <w:r w:rsidRPr="00675794">
        <w:t>[</w:t>
      </w:r>
      <w:r w:rsidRPr="00BC25FF">
        <w:rPr>
          <w:rStyle w:val="Italic"/>
        </w:rPr>
        <w:t>list each controlled entity for which an AE</w:t>
      </w:r>
      <w:r>
        <w:rPr>
          <w:rStyle w:val="Italic"/>
        </w:rPr>
        <w:t>P</w:t>
      </w:r>
      <w:r w:rsidRPr="00BC25FF">
        <w:rPr>
          <w:rStyle w:val="Italic"/>
        </w:rPr>
        <w:t xml:space="preserve"> will be prepared</w:t>
      </w:r>
      <w:r w:rsidRPr="00BC25FF">
        <w:t>].</w:t>
      </w:r>
    </w:p>
    <w:p w14:paraId="6DFE3DC7" w14:textId="77777777" w:rsidR="00D11197" w:rsidRPr="00675794" w:rsidRDefault="00D11197" w:rsidP="00D11197">
      <w:pPr>
        <w:pStyle w:val="SingleLineText-Half"/>
      </w:pPr>
    </w:p>
    <w:p w14:paraId="4D94FC18" w14:textId="77777777" w:rsidR="00D11197" w:rsidRPr="004E6427" w:rsidRDefault="00D11197" w:rsidP="00D11197">
      <w:pPr>
        <w:pStyle w:val="BodyText"/>
      </w:pPr>
      <w:r w:rsidRPr="004E6427">
        <w:t>[OR]</w:t>
      </w:r>
    </w:p>
    <w:p w14:paraId="679807D9" w14:textId="275927AC" w:rsidR="00D11197" w:rsidRPr="00675794" w:rsidRDefault="00D11197" w:rsidP="00D11197">
      <w:pPr>
        <w:pStyle w:val="BodyText"/>
      </w:pPr>
      <w:r w:rsidRPr="00675794">
        <w:t>This AE</w:t>
      </w:r>
      <w:r>
        <w:t>P</w:t>
      </w:r>
      <w:r w:rsidRPr="00675794">
        <w:t xml:space="preserve"> is for the audit of the financial statements of [</w:t>
      </w:r>
      <w:r w:rsidRPr="00675794">
        <w:rPr>
          <w:rStyle w:val="Italic"/>
        </w:rPr>
        <w:t>Parent Entity’s Name</w:t>
      </w:r>
      <w:r w:rsidRPr="00675794">
        <w:t>] and its controlled entity[ies] listed below:</w:t>
      </w:r>
    </w:p>
    <w:p w14:paraId="4E71F596" w14:textId="77777777" w:rsidR="00D11197" w:rsidRPr="00BC25FF" w:rsidRDefault="00D11197" w:rsidP="00D11197">
      <w:pPr>
        <w:pStyle w:val="Bullet1stlevel"/>
      </w:pPr>
      <w:r w:rsidRPr="00675794">
        <w:t>[</w:t>
      </w:r>
      <w:r w:rsidRPr="00BC25FF">
        <w:rPr>
          <w:rStyle w:val="Italic"/>
        </w:rPr>
        <w:t>list each controlled entity for which an AE</w:t>
      </w:r>
      <w:r>
        <w:rPr>
          <w:rStyle w:val="Italic"/>
        </w:rPr>
        <w:t>P</w:t>
      </w:r>
      <w:r w:rsidRPr="00BC25FF">
        <w:rPr>
          <w:rStyle w:val="Italic"/>
        </w:rPr>
        <w:t xml:space="preserve"> will not be prepared</w:t>
      </w:r>
      <w:r w:rsidRPr="00BC25FF">
        <w:t>].</w:t>
      </w:r>
    </w:p>
    <w:p w14:paraId="04E74899" w14:textId="77777777" w:rsidR="00D11197" w:rsidRPr="00675794" w:rsidRDefault="00D11197" w:rsidP="00D11197">
      <w:pPr>
        <w:pStyle w:val="SingleLineText-Half"/>
      </w:pPr>
    </w:p>
    <w:p w14:paraId="37D8C589" w14:textId="77777777" w:rsidR="00D11197" w:rsidRPr="00675794" w:rsidRDefault="00D11197" w:rsidP="00D11197">
      <w:pPr>
        <w:pStyle w:val="BodyText"/>
      </w:pPr>
      <w:r w:rsidRPr="00675794">
        <w:t>A separate AE</w:t>
      </w:r>
      <w:r>
        <w:t>P</w:t>
      </w:r>
      <w:r w:rsidRPr="00675794">
        <w:t xml:space="preserve"> will not be issued to the controlled entity[ies]. Please inform the governing body[ies] of relevant matters covered in this AE</w:t>
      </w:r>
      <w:r>
        <w:t>P</w:t>
      </w:r>
      <w:r w:rsidRPr="00675794">
        <w:t>.</w:t>
      </w:r>
    </w:p>
    <w:p w14:paraId="121EFC34" w14:textId="77777777" w:rsidR="00D11197" w:rsidRPr="00D11197" w:rsidRDefault="00D11197" w:rsidP="00D11197">
      <w:pPr>
        <w:pStyle w:val="Heading1-NumberedRED"/>
      </w:pPr>
      <w:bookmarkStart w:id="4" w:name="_Toc520383442"/>
      <w:bookmarkStart w:id="5" w:name="_Toc520383519"/>
      <w:bookmarkStart w:id="6" w:name="_Toc520383443"/>
      <w:bookmarkStart w:id="7" w:name="_Toc520383520"/>
      <w:bookmarkStart w:id="8" w:name="_Toc520383444"/>
      <w:bookmarkStart w:id="9" w:name="_Toc520383521"/>
      <w:bookmarkStart w:id="10" w:name="_Toc520383445"/>
      <w:bookmarkStart w:id="11" w:name="_Toc520383522"/>
      <w:bookmarkStart w:id="12" w:name="_Toc520383446"/>
      <w:bookmarkStart w:id="13" w:name="_Toc520383523"/>
      <w:bookmarkStart w:id="14" w:name="_Toc520383447"/>
      <w:bookmarkStart w:id="15" w:name="_Toc520383524"/>
      <w:bookmarkStart w:id="16" w:name="_Toc520383448"/>
      <w:bookmarkStart w:id="17" w:name="_Toc520383525"/>
      <w:bookmarkStart w:id="18" w:name="_Toc520383449"/>
      <w:bookmarkStart w:id="19" w:name="_Toc520383526"/>
      <w:bookmarkStart w:id="20" w:name="_Toc520383450"/>
      <w:bookmarkStart w:id="21" w:name="_Toc520383527"/>
      <w:bookmarkStart w:id="22" w:name="_Toc520383461"/>
      <w:bookmarkStart w:id="23" w:name="_Toc520383538"/>
      <w:bookmarkStart w:id="24" w:name="_Toc520383464"/>
      <w:bookmarkStart w:id="25" w:name="_Toc520383541"/>
      <w:bookmarkStart w:id="26" w:name="_Toc520383465"/>
      <w:bookmarkStart w:id="27" w:name="_Toc520383542"/>
      <w:bookmarkStart w:id="28" w:name="_Toc520383466"/>
      <w:bookmarkStart w:id="29" w:name="_Toc520383543"/>
      <w:bookmarkStart w:id="30" w:name="_Toc461177088"/>
      <w:bookmarkStart w:id="31" w:name="_Toc461177281"/>
      <w:bookmarkStart w:id="32" w:name="_Toc461177300"/>
      <w:bookmarkStart w:id="33" w:name="_Toc461179117"/>
      <w:bookmarkStart w:id="34" w:name="_Toc400459233"/>
      <w:bookmarkStart w:id="35" w:name="_Toc400460630"/>
      <w:bookmarkStart w:id="36" w:name="_Toc400459234"/>
      <w:bookmarkStart w:id="37" w:name="_Toc400460631"/>
      <w:bookmarkStart w:id="38" w:name="_Toc461177089"/>
      <w:bookmarkStart w:id="39" w:name="_Toc1424944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75794">
        <w:t>KEY ISSUES</w:t>
      </w:r>
      <w:bookmarkEnd w:id="38"/>
      <w:bookmarkEnd w:id="39"/>
    </w:p>
    <w:p w14:paraId="49BE0BCA" w14:textId="77777777" w:rsidR="00D11197" w:rsidRDefault="00D11197" w:rsidP="00D11197">
      <w:pPr>
        <w:pStyle w:val="SingleLineText-Half"/>
      </w:pPr>
      <w:bookmarkStart w:id="40" w:name="_Hlk8821761"/>
      <w:bookmarkStart w:id="41" w:name="_Hlk8823733"/>
    </w:p>
    <w:tbl>
      <w:tblPr>
        <w:tblStyle w:val="TableGrid"/>
        <w:tblW w:w="0" w:type="auto"/>
        <w:tblLook w:val="04A0" w:firstRow="1" w:lastRow="0" w:firstColumn="1" w:lastColumn="0" w:noHBand="0" w:noVBand="1"/>
      </w:tblPr>
      <w:tblGrid>
        <w:gridCol w:w="9060"/>
      </w:tblGrid>
      <w:tr w:rsidR="00D11197" w14:paraId="4B0DF29A" w14:textId="77777777" w:rsidTr="00C60F3E">
        <w:tc>
          <w:tcPr>
            <w:tcW w:w="9060" w:type="dxa"/>
            <w:shd w:val="clear" w:color="auto" w:fill="D9D9D9" w:themeFill="background1" w:themeFillShade="D9"/>
          </w:tcPr>
          <w:p w14:paraId="1AD7275E" w14:textId="77777777" w:rsidR="00D11197" w:rsidRPr="00D11197" w:rsidRDefault="00D11197" w:rsidP="00D11197">
            <w:pPr>
              <w:pStyle w:val="Tabletext"/>
            </w:pPr>
            <w:r w:rsidRPr="00094E79">
              <w:rPr>
                <w:rStyle w:val="Bold"/>
              </w:rPr>
              <w:t xml:space="preserve">Only insert the section below if your </w:t>
            </w:r>
            <w:r w:rsidRPr="00D11197">
              <w:rPr>
                <w:rStyle w:val="Bold"/>
              </w:rPr>
              <w:t>university has been selected to trial key audit matters in the Independent Auditor’s Report.</w:t>
            </w:r>
          </w:p>
        </w:tc>
      </w:tr>
    </w:tbl>
    <w:p w14:paraId="7120D349" w14:textId="77777777" w:rsidR="00D11197" w:rsidRDefault="00D11197" w:rsidP="00D11197">
      <w:pPr>
        <w:pStyle w:val="SingleLineText-Half"/>
      </w:pPr>
    </w:p>
    <w:bookmarkEnd w:id="40"/>
    <w:p w14:paraId="13569374" w14:textId="77777777" w:rsidR="00D11197" w:rsidRPr="00E756FE" w:rsidRDefault="00D11197" w:rsidP="00D11197">
      <w:pPr>
        <w:pStyle w:val="Heading2"/>
      </w:pPr>
      <w:r w:rsidRPr="00E756FE">
        <w:t>Key audit matters</w:t>
      </w:r>
    </w:p>
    <w:p w14:paraId="7B638D66" w14:textId="02B7ABD2" w:rsidR="00D11197" w:rsidRPr="008B52AB" w:rsidRDefault="00D11197" w:rsidP="00D11197">
      <w:pPr>
        <w:pStyle w:val="BodyText"/>
      </w:pPr>
      <w:r w:rsidRPr="008B52AB">
        <w:t>In</w:t>
      </w:r>
      <w:r w:rsidR="00F95062">
        <w:t> December </w:t>
      </w:r>
      <w:r w:rsidRPr="008B52AB">
        <w:t>2015, the Auditing and Assurance Standards Board introduced ASA 701 ‘Communicating Key Audit Matters in the Independent Auditor’s Report’. This Auditing Standard established key requirements regarding the communication of Key Audit Matters (KAMs) in the Independent Auditor’s Report.</w:t>
      </w:r>
    </w:p>
    <w:p w14:paraId="35346E1A" w14:textId="77777777" w:rsidR="00D11197" w:rsidRPr="008B52AB" w:rsidRDefault="00D11197" w:rsidP="00D11197">
      <w:pPr>
        <w:pStyle w:val="BodyText"/>
      </w:pPr>
      <w:r w:rsidRPr="008B52AB">
        <w:t>KAMs are those matters that, in the auditor’s judgement, were of most significance in the audit of the financial statement of the current reporting period and are selected from matters communicated with those charged with governance.</w:t>
      </w:r>
    </w:p>
    <w:p w14:paraId="3770B296" w14:textId="77777777" w:rsidR="00D11197" w:rsidRPr="008B52AB" w:rsidRDefault="00D11197" w:rsidP="00D11197">
      <w:pPr>
        <w:pStyle w:val="BodyText"/>
      </w:pPr>
      <w:r w:rsidRPr="008B52AB">
        <w:t>While not mandatory for the public sector, the Audit Office believes KAMs will add value to users by providing broader insights, increased transparency and better readability.</w:t>
      </w:r>
    </w:p>
    <w:p w14:paraId="798007D8" w14:textId="77777777" w:rsidR="00D11197" w:rsidRPr="008B52AB" w:rsidRDefault="00D11197" w:rsidP="00D11197">
      <w:pPr>
        <w:pStyle w:val="BodyText"/>
      </w:pPr>
      <w:r w:rsidRPr="008B52AB">
        <w:t>We will pilot the principles of ASA 701 on the audit of [</w:t>
      </w:r>
      <w:r w:rsidRPr="005920BA">
        <w:rPr>
          <w:i/>
        </w:rPr>
        <w:t>abbreviated name</w:t>
      </w:r>
      <w:r w:rsidRPr="008B52AB">
        <w:t>]’s financial statements. While we will not include a ‘Key Audit Matters’ section in the Independent Auditor’s Report, the pilot will enable the Audit Office and [</w:t>
      </w:r>
      <w:r w:rsidRPr="005920BA">
        <w:rPr>
          <w:i/>
        </w:rPr>
        <w:t>abbreviated name</w:t>
      </w:r>
      <w:r w:rsidRPr="008B52AB">
        <w:t>] to consider key implementation issues such as:</w:t>
      </w:r>
    </w:p>
    <w:p w14:paraId="3FB9E420" w14:textId="77777777" w:rsidR="00D11197" w:rsidRPr="008B52AB" w:rsidRDefault="00D11197" w:rsidP="00D11197">
      <w:pPr>
        <w:pStyle w:val="Bullet1stlevel"/>
      </w:pPr>
      <w:r w:rsidRPr="008B52AB">
        <w:t>identifying KAMs relevant to the audit</w:t>
      </w:r>
    </w:p>
    <w:p w14:paraId="597186CD" w14:textId="77777777" w:rsidR="00D11197" w:rsidRPr="008B52AB" w:rsidRDefault="00D11197" w:rsidP="00D11197">
      <w:pPr>
        <w:pStyle w:val="Bullet1stlevel"/>
      </w:pPr>
      <w:r w:rsidRPr="008B52AB">
        <w:t>determining the level of detail to communicate about the auditor’s response to identified matters</w:t>
      </w:r>
    </w:p>
    <w:p w14:paraId="734D44E1" w14:textId="77777777" w:rsidR="00D11197" w:rsidRPr="00390362" w:rsidRDefault="00D11197" w:rsidP="00D11197">
      <w:pPr>
        <w:pStyle w:val="Bullet1stlevel"/>
      </w:pPr>
      <w:r w:rsidRPr="00390362">
        <w:t>the timing of communications with key stakeholders.</w:t>
      </w:r>
    </w:p>
    <w:p w14:paraId="765866D8" w14:textId="77777777" w:rsidR="00D11197" w:rsidRPr="00390362" w:rsidRDefault="00D11197" w:rsidP="00D11197">
      <w:pPr>
        <w:pStyle w:val="SingleLineText-Half"/>
      </w:pPr>
    </w:p>
    <w:p w14:paraId="386E5718" w14:textId="0154C9D7" w:rsidR="00D11197" w:rsidRPr="00D11197" w:rsidRDefault="00D11197" w:rsidP="00D11197">
      <w:pPr>
        <w:pStyle w:val="Tablebullet"/>
      </w:pPr>
      <w:r w:rsidRPr="00D11197">
        <w:t>We will discuss the pilot with management and provide an update on progress in the Engagement Closing Report.</w:t>
      </w:r>
      <w:bookmarkEnd w:id="41"/>
    </w:p>
    <w:p w14:paraId="7C0FF979" w14:textId="77777777" w:rsidR="00D11197" w:rsidRPr="00BC25FF" w:rsidRDefault="00D11197" w:rsidP="00D11197">
      <w:pPr>
        <w:pStyle w:val="BodyText"/>
      </w:pPr>
    </w:p>
    <w:tbl>
      <w:tblPr>
        <w:tblStyle w:val="TableGrid"/>
        <w:tblW w:w="9070" w:type="dxa"/>
        <w:tblLook w:val="04A0" w:firstRow="1" w:lastRow="0" w:firstColumn="1" w:lastColumn="0" w:noHBand="0" w:noVBand="1"/>
      </w:tblPr>
      <w:tblGrid>
        <w:gridCol w:w="9070"/>
      </w:tblGrid>
      <w:tr w:rsidR="00D11197" w:rsidRPr="00675794" w14:paraId="2653E98F" w14:textId="77777777" w:rsidTr="00C60F3E">
        <w:tc>
          <w:tcPr>
            <w:tcW w:w="9072" w:type="dxa"/>
            <w:shd w:val="clear" w:color="auto" w:fill="D9D9D9" w:themeFill="background1" w:themeFillShade="D9"/>
          </w:tcPr>
          <w:p w14:paraId="0BE29B49" w14:textId="77777777" w:rsidR="00D11197" w:rsidRPr="00D11197" w:rsidRDefault="00D11197" w:rsidP="00D11197">
            <w:pPr>
              <w:pStyle w:val="Tabletext"/>
              <w:rPr>
                <w:rStyle w:val="Bold"/>
              </w:rPr>
            </w:pPr>
            <w:r w:rsidRPr="00675794">
              <w:rPr>
                <w:rStyle w:val="Bold"/>
              </w:rPr>
              <w:t>When completing the table below also consider:</w:t>
            </w:r>
          </w:p>
          <w:p w14:paraId="0F6BEA9B" w14:textId="77777777" w:rsidR="00D11197" w:rsidRPr="00D11197" w:rsidRDefault="00D11197" w:rsidP="00D11197">
            <w:pPr>
              <w:pStyle w:val="Tablebullet"/>
              <w:rPr>
                <w:rStyle w:val="Bold"/>
              </w:rPr>
            </w:pPr>
            <w:r w:rsidRPr="00675794">
              <w:rPr>
                <w:rStyle w:val="Bold"/>
              </w:rPr>
              <w:t xml:space="preserve">matters noted </w:t>
            </w:r>
            <w:r w:rsidRPr="00D11197">
              <w:rPr>
                <w:rStyle w:val="Bold"/>
              </w:rPr>
              <w:t>when understanding the entity and its environment</w:t>
            </w:r>
          </w:p>
          <w:p w14:paraId="3A1400CB" w14:textId="77777777" w:rsidR="00D11197" w:rsidRPr="00D11197" w:rsidRDefault="00D11197" w:rsidP="00D11197">
            <w:pPr>
              <w:pStyle w:val="Tablebullet"/>
              <w:rPr>
                <w:rStyle w:val="Bold"/>
              </w:rPr>
            </w:pPr>
            <w:r w:rsidRPr="00675794">
              <w:rPr>
                <w:rStyle w:val="Bold"/>
              </w:rPr>
              <w:t>repeat findings</w:t>
            </w:r>
          </w:p>
          <w:p w14:paraId="2C6F4656" w14:textId="77777777" w:rsidR="00D11197" w:rsidRPr="00D11197" w:rsidRDefault="00D11197" w:rsidP="00D11197">
            <w:pPr>
              <w:pStyle w:val="Tablebullet"/>
              <w:rPr>
                <w:rStyle w:val="Bold"/>
              </w:rPr>
            </w:pPr>
            <w:r w:rsidRPr="00675794">
              <w:rPr>
                <w:rStyle w:val="Bold"/>
              </w:rPr>
              <w:t>significant matters</w:t>
            </w:r>
          </w:p>
          <w:p w14:paraId="43EA1BDF" w14:textId="77777777" w:rsidR="00D11197" w:rsidRPr="00D11197" w:rsidRDefault="00D11197" w:rsidP="00D11197">
            <w:pPr>
              <w:pStyle w:val="Tablebullet"/>
              <w:rPr>
                <w:rStyle w:val="Bold"/>
              </w:rPr>
            </w:pPr>
            <w:r w:rsidRPr="00675794">
              <w:rPr>
                <w:rStyle w:val="Bold"/>
              </w:rPr>
              <w:t xml:space="preserve">issues/developments in the </w:t>
            </w:r>
            <w:hyperlink r:id="rId23" w:history="1">
              <w:r w:rsidRPr="00D11197">
                <w:rPr>
                  <w:rStyle w:val="Bold"/>
                </w:rPr>
                <w:t>‘</w:t>
              </w:r>
              <w:r w:rsidRPr="00D11197">
                <w:rPr>
                  <w:rStyle w:val="Hyperlink"/>
                </w:rPr>
                <w:t>Financial Reporting Issues and Developments</w:t>
              </w:r>
              <w:r w:rsidRPr="00D11197">
                <w:rPr>
                  <w:rStyle w:val="Bold"/>
                </w:rPr>
                <w:t>’</w:t>
              </w:r>
            </w:hyperlink>
            <w:r w:rsidRPr="00D11197">
              <w:rPr>
                <w:rStyle w:val="Bold"/>
              </w:rPr>
              <w:t xml:space="preserve"> publication on the Audit Office website. Audit teams should identify and report key issues/developments relevant to the auditee below or in section 10, as appropriate.</w:t>
            </w:r>
          </w:p>
          <w:p w14:paraId="073C108F" w14:textId="77777777" w:rsidR="00D11197" w:rsidRPr="00675794" w:rsidRDefault="00D11197" w:rsidP="00D11197">
            <w:pPr>
              <w:pStyle w:val="SingleLineText-Half"/>
            </w:pPr>
          </w:p>
        </w:tc>
      </w:tr>
    </w:tbl>
    <w:p w14:paraId="7C33E1D8" w14:textId="77777777" w:rsidR="00D11197" w:rsidRDefault="00D11197" w:rsidP="00D11197">
      <w:pPr>
        <w:pStyle w:val="BodyText"/>
      </w:pPr>
    </w:p>
    <w:p w14:paraId="6D6C25EF" w14:textId="77777777" w:rsidR="00D11197" w:rsidRPr="00675794" w:rsidRDefault="00D11197" w:rsidP="00D11197">
      <w:pPr>
        <w:pStyle w:val="Heading2"/>
      </w:pPr>
      <w:r>
        <w:t>Matters of interest to those charged with governance</w:t>
      </w:r>
    </w:p>
    <w:p w14:paraId="68F83570" w14:textId="77777777" w:rsidR="00D11197" w:rsidRPr="00675794" w:rsidRDefault="00D11197" w:rsidP="00D11197">
      <w:pPr>
        <w:pStyle w:val="BodyText"/>
      </w:pPr>
      <w:r w:rsidRPr="00675794">
        <w:t xml:space="preserve">The table below details </w:t>
      </w:r>
      <w:r>
        <w:t>our</w:t>
      </w:r>
      <w:r w:rsidRPr="00675794">
        <w:t xml:space="preserve"> audit assessment of issues and risks that may impact this year’s audit and how the audit team will respond to them.</w:t>
      </w:r>
    </w:p>
    <w:tbl>
      <w:tblPr>
        <w:tblStyle w:val="TableGrid"/>
        <w:tblW w:w="9070" w:type="dxa"/>
        <w:tblLook w:val="04A0" w:firstRow="1" w:lastRow="0" w:firstColumn="1" w:lastColumn="0" w:noHBand="0" w:noVBand="1"/>
      </w:tblPr>
      <w:tblGrid>
        <w:gridCol w:w="9070"/>
      </w:tblGrid>
      <w:tr w:rsidR="00D11197" w:rsidRPr="00743C78" w14:paraId="1185F19D" w14:textId="77777777" w:rsidTr="00C60F3E">
        <w:tc>
          <w:tcPr>
            <w:tcW w:w="9060" w:type="dxa"/>
            <w:shd w:val="clear" w:color="auto" w:fill="D9D9D9" w:themeFill="background1" w:themeFillShade="D9"/>
          </w:tcPr>
          <w:p w14:paraId="1526EE05" w14:textId="77777777" w:rsidR="00D11197" w:rsidRPr="00D11197" w:rsidRDefault="00D11197" w:rsidP="00D11197">
            <w:pPr>
              <w:pStyle w:val="Tabletext"/>
              <w:rPr>
                <w:rStyle w:val="Bold"/>
              </w:rPr>
            </w:pPr>
            <w:r w:rsidRPr="00743C78">
              <w:rPr>
                <w:rStyle w:val="Bold"/>
              </w:rPr>
              <w:t>Include the sentence below if the audit risk is assessed as greater than normal.</w:t>
            </w:r>
          </w:p>
        </w:tc>
      </w:tr>
    </w:tbl>
    <w:p w14:paraId="5A92C590" w14:textId="77777777" w:rsidR="00D11197" w:rsidRPr="00675794" w:rsidRDefault="00D11197" w:rsidP="00D11197">
      <w:pPr>
        <w:pStyle w:val="BodyText"/>
      </w:pPr>
    </w:p>
    <w:p w14:paraId="4BB201A0" w14:textId="77777777" w:rsidR="00D11197" w:rsidRPr="00675794" w:rsidRDefault="00D11197" w:rsidP="00D11197">
      <w:pPr>
        <w:pStyle w:val="BodyText"/>
      </w:pPr>
      <w:r w:rsidRPr="00675794">
        <w:t>[</w:t>
      </w:r>
      <w:r>
        <w:t>Our</w:t>
      </w:r>
      <w:r w:rsidRPr="00675794">
        <w:t xml:space="preserve"> assessment of audit risk for the [</w:t>
      </w:r>
      <w:r w:rsidRPr="00D30510">
        <w:rPr>
          <w:rStyle w:val="Italic"/>
        </w:rPr>
        <w:t>abbreviated name</w:t>
      </w:r>
      <w:r w:rsidRPr="00675794">
        <w:t xml:space="preserve">] is greater than normal. Factors affecting </w:t>
      </w:r>
      <w:r>
        <w:t>our</w:t>
      </w:r>
      <w:r w:rsidRPr="00675794">
        <w:t xml:space="preserve"> assessment include [</w:t>
      </w:r>
      <w:r w:rsidRPr="00D30510">
        <w:rPr>
          <w:rStyle w:val="Italic"/>
        </w:rPr>
        <w:t>insert details of factors affecting the risk assessment as greater than normal</w:t>
      </w:r>
      <w:r w:rsidRPr="00675794">
        <w:t>]].</w:t>
      </w:r>
    </w:p>
    <w:tbl>
      <w:tblPr>
        <w:tblW w:w="9070" w:type="dxa"/>
        <w:tblBorders>
          <w:bottom w:val="single" w:sz="4" w:space="0" w:color="auto"/>
        </w:tblBorders>
        <w:tblLook w:val="01E0" w:firstRow="1" w:lastRow="1" w:firstColumn="1" w:lastColumn="1" w:noHBand="0" w:noVBand="0"/>
      </w:tblPr>
      <w:tblGrid>
        <w:gridCol w:w="3023"/>
        <w:gridCol w:w="3023"/>
        <w:gridCol w:w="3024"/>
      </w:tblGrid>
      <w:tr w:rsidR="00D11197" w:rsidRPr="0063146B" w14:paraId="056A11B8" w14:textId="77777777" w:rsidTr="005920BA">
        <w:trPr>
          <w:tblHeader/>
        </w:trPr>
        <w:tc>
          <w:tcPr>
            <w:tcW w:w="3023" w:type="dxa"/>
            <w:tcBorders>
              <w:bottom w:val="single" w:sz="18" w:space="0" w:color="D9AD5F"/>
            </w:tcBorders>
            <w:shd w:val="clear" w:color="auto" w:fill="auto"/>
          </w:tcPr>
          <w:p w14:paraId="06F52893" w14:textId="77777777" w:rsidR="00D11197" w:rsidRPr="0063146B" w:rsidRDefault="00D11197" w:rsidP="0063146B">
            <w:pPr>
              <w:pStyle w:val="Tableheading-leftaligned"/>
            </w:pPr>
            <w:r w:rsidRPr="0063146B">
              <w:t>Issue or risk</w:t>
            </w:r>
          </w:p>
        </w:tc>
        <w:tc>
          <w:tcPr>
            <w:tcW w:w="3023" w:type="dxa"/>
            <w:tcBorders>
              <w:bottom w:val="single" w:sz="18" w:space="0" w:color="D9AD5F"/>
            </w:tcBorders>
            <w:shd w:val="clear" w:color="auto" w:fill="auto"/>
          </w:tcPr>
          <w:p w14:paraId="062253E4" w14:textId="77777777" w:rsidR="00D11197" w:rsidRPr="0063146B" w:rsidRDefault="00D11197" w:rsidP="0063146B">
            <w:pPr>
              <w:pStyle w:val="Tableheading-leftaligned"/>
            </w:pPr>
            <w:r w:rsidRPr="0063146B">
              <w:t>Exposure</w:t>
            </w:r>
          </w:p>
        </w:tc>
        <w:tc>
          <w:tcPr>
            <w:tcW w:w="3024" w:type="dxa"/>
            <w:tcBorders>
              <w:bottom w:val="single" w:sz="18" w:space="0" w:color="D9AD5F"/>
            </w:tcBorders>
            <w:shd w:val="clear" w:color="auto" w:fill="auto"/>
          </w:tcPr>
          <w:p w14:paraId="6DF9060D" w14:textId="77777777" w:rsidR="00D11197" w:rsidRPr="0063146B" w:rsidRDefault="00D11197" w:rsidP="0063146B">
            <w:pPr>
              <w:pStyle w:val="Tableheading-leftaligned"/>
            </w:pPr>
            <w:r w:rsidRPr="0063146B">
              <w:t>Audit response</w:t>
            </w:r>
          </w:p>
        </w:tc>
      </w:tr>
      <w:tr w:rsidR="00D11197" w:rsidRPr="00675794" w14:paraId="30746827" w14:textId="77777777" w:rsidTr="005920BA">
        <w:tc>
          <w:tcPr>
            <w:tcW w:w="0" w:type="auto"/>
            <w:gridSpan w:val="3"/>
            <w:tcBorders>
              <w:top w:val="single" w:sz="18" w:space="0" w:color="D9AD5F"/>
            </w:tcBorders>
            <w:shd w:val="clear" w:color="auto" w:fill="EFEFF0"/>
          </w:tcPr>
          <w:p w14:paraId="51367006" w14:textId="77777777" w:rsidR="00D11197" w:rsidRPr="00D11197" w:rsidRDefault="00D11197" w:rsidP="00D11197">
            <w:pPr>
              <w:pStyle w:val="Tableheading-leftaligned"/>
            </w:pPr>
            <w:r w:rsidRPr="00675794">
              <w:t>Significant audit risks</w:t>
            </w:r>
          </w:p>
        </w:tc>
      </w:tr>
      <w:tr w:rsidR="00D11197" w:rsidRPr="0063146B" w14:paraId="49CDC348" w14:textId="77777777" w:rsidTr="005920BA">
        <w:tc>
          <w:tcPr>
            <w:tcW w:w="9070" w:type="dxa"/>
            <w:gridSpan w:val="3"/>
            <w:shd w:val="clear" w:color="auto" w:fill="auto"/>
          </w:tcPr>
          <w:p w14:paraId="7CCC6F10" w14:textId="77777777" w:rsidR="00D11197" w:rsidRPr="0063146B" w:rsidRDefault="00D11197" w:rsidP="005920BA">
            <w:pPr>
              <w:pStyle w:val="Tableheading-leftaligned"/>
              <w:rPr>
                <w:rStyle w:val="Tabletext-red"/>
                <w:color w:val="auto"/>
              </w:rPr>
            </w:pPr>
            <w:r w:rsidRPr="0063146B">
              <w:t>New accounting standards applicable for 2019 financial statements</w:t>
            </w:r>
          </w:p>
        </w:tc>
      </w:tr>
      <w:tr w:rsidR="00D11197" w:rsidRPr="00675794" w14:paraId="30772E11" w14:textId="77777777" w:rsidTr="00C60F3E">
        <w:tc>
          <w:tcPr>
            <w:tcW w:w="3023" w:type="dxa"/>
          </w:tcPr>
          <w:p w14:paraId="75C96E68" w14:textId="77777777" w:rsidR="00D11197" w:rsidRPr="00D11197" w:rsidRDefault="00D11197" w:rsidP="00D11197">
            <w:pPr>
              <w:rPr>
                <w:rStyle w:val="Tabletext-red"/>
              </w:rPr>
            </w:pPr>
            <w:r w:rsidRPr="008B52AB">
              <w:rPr>
                <w:rStyle w:val="Tabletext-red"/>
              </w:rPr>
              <w:t>[example for university only – modify as required]</w:t>
            </w:r>
          </w:p>
          <w:p w14:paraId="4B9D7009" w14:textId="226BAAFB" w:rsidR="00D11197" w:rsidRPr="00D11197" w:rsidRDefault="00D11197" w:rsidP="00D11197">
            <w:pPr>
              <w:pStyle w:val="Tabletext"/>
            </w:pPr>
            <w:r w:rsidRPr="008B52AB">
              <w:t>The following n</w:t>
            </w:r>
            <w:r w:rsidRPr="00D11197">
              <w:t>ew accounting standards issued by the Australian Accounting Standards Board became effective from 1</w:t>
            </w:r>
            <w:r w:rsidR="00F95062">
              <w:t> January </w:t>
            </w:r>
            <w:r w:rsidRPr="00D11197">
              <w:t>2019:</w:t>
            </w:r>
          </w:p>
          <w:p w14:paraId="71DFE49B" w14:textId="77777777" w:rsidR="00D11197" w:rsidRPr="00D11197" w:rsidRDefault="00D11197" w:rsidP="00D11197">
            <w:pPr>
              <w:pStyle w:val="Tablebullet"/>
            </w:pPr>
            <w:r w:rsidRPr="008B52AB">
              <w:t>AASB 15</w:t>
            </w:r>
            <w:r w:rsidRPr="00D11197">
              <w:t xml:space="preserve"> ‘Revenue from Contracts with Customers’</w:t>
            </w:r>
          </w:p>
          <w:p w14:paraId="3551F842" w14:textId="77777777" w:rsidR="00D11197" w:rsidRPr="00D11197" w:rsidRDefault="00D11197" w:rsidP="00D11197">
            <w:pPr>
              <w:pStyle w:val="Tablebullet"/>
            </w:pPr>
            <w:r w:rsidRPr="008B52AB">
              <w:t>AASB 16</w:t>
            </w:r>
            <w:r w:rsidRPr="00D11197">
              <w:t xml:space="preserve"> ‘Leases’</w:t>
            </w:r>
          </w:p>
          <w:p w14:paraId="24ADCFD3" w14:textId="50430D71" w:rsidR="00D11197" w:rsidRPr="00D11197" w:rsidRDefault="00D11197" w:rsidP="00D11197">
            <w:pPr>
              <w:pStyle w:val="Tablebullet"/>
            </w:pPr>
            <w:r w:rsidRPr="008B52AB">
              <w:t>AASB 1058</w:t>
            </w:r>
            <w:r w:rsidRPr="00D11197">
              <w:t xml:space="preserve"> ‘Income of Not</w:t>
            </w:r>
            <w:r w:rsidR="00F95062">
              <w:noBreakHyphen/>
            </w:r>
            <w:r w:rsidRPr="00D11197">
              <w:t>for</w:t>
            </w:r>
            <w:r w:rsidR="00F95062">
              <w:noBreakHyphen/>
            </w:r>
            <w:r w:rsidRPr="00D11197">
              <w:t>Profit Entities’.</w:t>
            </w:r>
          </w:p>
          <w:p w14:paraId="3B0A8EF2" w14:textId="77777777" w:rsidR="00D11197" w:rsidRPr="008B52AB" w:rsidRDefault="00D11197">
            <w:pPr>
              <w:pStyle w:val="SingleLineText-Half"/>
            </w:pPr>
          </w:p>
          <w:p w14:paraId="1F1AA3B9" w14:textId="77777777" w:rsidR="00D11197" w:rsidRPr="00D11197" w:rsidRDefault="00D11197">
            <w:pPr>
              <w:pStyle w:val="Tabletext"/>
            </w:pPr>
            <w:r w:rsidRPr="008B52AB">
              <w:t>Significant preparation is required</w:t>
            </w:r>
            <w:r w:rsidRPr="00D11197">
              <w:t xml:space="preserve"> to apply these standards and ensure the 2019 financial statements have materially complied with the requirements.</w:t>
            </w:r>
          </w:p>
          <w:p w14:paraId="5C07A076" w14:textId="77777777" w:rsidR="00D11197" w:rsidRPr="00D11197" w:rsidRDefault="00D11197" w:rsidP="00D11197">
            <w:pPr>
              <w:pStyle w:val="Tabletext"/>
            </w:pPr>
            <w:r w:rsidRPr="008B52AB">
              <w:t>[</w:t>
            </w:r>
            <w:r w:rsidRPr="005920BA">
              <w:rPr>
                <w:rStyle w:val="Italic"/>
              </w:rPr>
              <w:t>Add details specific to your university if required</w:t>
            </w:r>
            <w:r w:rsidRPr="00D11197">
              <w:t>].</w:t>
            </w:r>
          </w:p>
          <w:p w14:paraId="2BA3A7CF" w14:textId="77777777" w:rsidR="00D11197" w:rsidRPr="00D11197" w:rsidRDefault="00D11197" w:rsidP="00D11197">
            <w:pPr>
              <w:pStyle w:val="Tabletext"/>
            </w:pPr>
            <w:r w:rsidRPr="008B52AB">
              <w:t xml:space="preserve">Further details on the </w:t>
            </w:r>
            <w:r w:rsidRPr="00D11197">
              <w:t xml:space="preserve">requirements of these new standards are in </w:t>
            </w:r>
            <w:hyperlink w:anchor="Appendix_two" w:history="1">
              <w:r w:rsidRPr="00D11197">
                <w:rPr>
                  <w:rStyle w:val="Hyperlink"/>
                </w:rPr>
                <w:t>Appendix two</w:t>
              </w:r>
            </w:hyperlink>
            <w:r w:rsidRPr="00D11197">
              <w:rPr>
                <w:rStyle w:val="Hyperlink"/>
              </w:rPr>
              <w:t>.</w:t>
            </w:r>
          </w:p>
        </w:tc>
        <w:tc>
          <w:tcPr>
            <w:tcW w:w="3023" w:type="dxa"/>
          </w:tcPr>
          <w:p w14:paraId="40697AFA" w14:textId="77777777" w:rsidR="00D11197" w:rsidRPr="00D11197" w:rsidRDefault="00D11197" w:rsidP="00D11197">
            <w:pPr>
              <w:rPr>
                <w:rStyle w:val="Tabletext-red"/>
              </w:rPr>
            </w:pPr>
            <w:r w:rsidRPr="008B52AB">
              <w:rPr>
                <w:rStyle w:val="Tabletext-red"/>
              </w:rPr>
              <w:t>[example for university only – modify as required]</w:t>
            </w:r>
          </w:p>
          <w:p w14:paraId="299FAD4D" w14:textId="77777777" w:rsidR="00D11197" w:rsidRPr="00D11197" w:rsidRDefault="00D11197" w:rsidP="00D11197">
            <w:pPr>
              <w:pStyle w:val="Tabletext"/>
            </w:pPr>
            <w:r w:rsidRPr="008B52AB">
              <w:t xml:space="preserve">Not being sufficiently prepared to apply the new accounting standards in the </w:t>
            </w:r>
            <w:r w:rsidRPr="00D11197">
              <w:t>2019 financial statements, including having the necessary comparative information.</w:t>
            </w:r>
          </w:p>
        </w:tc>
        <w:tc>
          <w:tcPr>
            <w:tcW w:w="3024" w:type="dxa"/>
          </w:tcPr>
          <w:p w14:paraId="6DC82CB3" w14:textId="77777777" w:rsidR="00D11197" w:rsidRPr="00D11197" w:rsidRDefault="00D11197" w:rsidP="00D11197">
            <w:pPr>
              <w:rPr>
                <w:rStyle w:val="Tabletext-red"/>
              </w:rPr>
            </w:pPr>
            <w:r w:rsidRPr="008B52AB">
              <w:rPr>
                <w:rStyle w:val="Tabletext-red"/>
              </w:rPr>
              <w:t>[example for university only – modify as required]</w:t>
            </w:r>
          </w:p>
          <w:p w14:paraId="3367C50A" w14:textId="37678423" w:rsidR="00D11197" w:rsidRPr="00D11197" w:rsidRDefault="00D11197" w:rsidP="00D11197">
            <w:pPr>
              <w:pStyle w:val="Tabletext"/>
            </w:pPr>
            <w:r w:rsidRPr="00D11197">
              <w:t>We will review the University’s assessment of the impacts on the 2019 financial statements for application of AASB 15, 16 and 1058 to ensure the:</w:t>
            </w:r>
          </w:p>
          <w:p w14:paraId="2EFEEDC5" w14:textId="77777777" w:rsidR="00D11197" w:rsidRPr="00D11197" w:rsidRDefault="00D11197" w:rsidP="00D11197">
            <w:pPr>
              <w:pStyle w:val="Tablebullet"/>
            </w:pPr>
            <w:r w:rsidRPr="008B52AB">
              <w:t>recognition and</w:t>
            </w:r>
            <w:r w:rsidRPr="00D11197">
              <w:t xml:space="preserve"> measurement requirements have been considered across all income streams and lease agreements/service contracts as appropriate</w:t>
            </w:r>
          </w:p>
          <w:p w14:paraId="04F46FF1" w14:textId="77777777" w:rsidR="00D11197" w:rsidRPr="00D11197" w:rsidRDefault="00D11197" w:rsidP="00D11197">
            <w:pPr>
              <w:pStyle w:val="Tablebullet"/>
            </w:pPr>
            <w:r w:rsidRPr="008B52AB">
              <w:t xml:space="preserve">disclosure requirements </w:t>
            </w:r>
            <w:r w:rsidRPr="00D11197">
              <w:t>have been reflected in the 2019 financial statements, including comparatives (where appropriate).</w:t>
            </w:r>
          </w:p>
        </w:tc>
      </w:tr>
      <w:tr w:rsidR="00D11197" w:rsidRPr="00675794" w14:paraId="45A844DC" w14:textId="77777777" w:rsidTr="00C60F3E">
        <w:tc>
          <w:tcPr>
            <w:tcW w:w="3023" w:type="dxa"/>
          </w:tcPr>
          <w:p w14:paraId="672F20E2" w14:textId="77777777" w:rsidR="00D11197" w:rsidRPr="00D11197" w:rsidRDefault="00D11197" w:rsidP="00D11197">
            <w:pPr>
              <w:pStyle w:val="Tabletext"/>
            </w:pPr>
            <w:r w:rsidRPr="00675794">
              <w:t>[</w:t>
            </w:r>
            <w:r w:rsidRPr="00D11197">
              <w:rPr>
                <w:rStyle w:val="Italic"/>
              </w:rPr>
              <w:t>enter information here</w:t>
            </w:r>
            <w:r w:rsidRPr="00D11197">
              <w:t>]</w:t>
            </w:r>
          </w:p>
        </w:tc>
        <w:tc>
          <w:tcPr>
            <w:tcW w:w="3023" w:type="dxa"/>
          </w:tcPr>
          <w:p w14:paraId="160D6EB9" w14:textId="77777777" w:rsidR="00D11197" w:rsidRPr="00D11197" w:rsidRDefault="00D11197" w:rsidP="00D11197">
            <w:pPr>
              <w:pStyle w:val="Tabletext"/>
            </w:pPr>
            <w:r w:rsidRPr="00675794">
              <w:t>[</w:t>
            </w:r>
            <w:r w:rsidRPr="00D11197">
              <w:rPr>
                <w:rStyle w:val="Italic"/>
              </w:rPr>
              <w:t>enter information here</w:t>
            </w:r>
            <w:r w:rsidRPr="00D11197">
              <w:t>]</w:t>
            </w:r>
          </w:p>
        </w:tc>
        <w:tc>
          <w:tcPr>
            <w:tcW w:w="3024" w:type="dxa"/>
          </w:tcPr>
          <w:p w14:paraId="1C5D62E9" w14:textId="77777777" w:rsidR="00D11197" w:rsidRPr="00D11197" w:rsidRDefault="00D11197" w:rsidP="00D11197">
            <w:pPr>
              <w:pStyle w:val="Tabletext"/>
            </w:pPr>
            <w:r w:rsidRPr="00675794">
              <w:t>[</w:t>
            </w:r>
            <w:r w:rsidRPr="00D11197">
              <w:rPr>
                <w:rStyle w:val="Italic"/>
              </w:rPr>
              <w:t>enter information here</w:t>
            </w:r>
            <w:r w:rsidRPr="00D11197">
              <w:t>]</w:t>
            </w:r>
          </w:p>
        </w:tc>
      </w:tr>
      <w:tr w:rsidR="00D11197" w:rsidRPr="00675794" w14:paraId="6D3AD1A0" w14:textId="77777777" w:rsidTr="005920BA">
        <w:tc>
          <w:tcPr>
            <w:tcW w:w="0" w:type="auto"/>
            <w:gridSpan w:val="3"/>
            <w:shd w:val="clear" w:color="auto" w:fill="EFEFF0"/>
          </w:tcPr>
          <w:p w14:paraId="636678F2" w14:textId="77777777" w:rsidR="00D11197" w:rsidRPr="00D11197" w:rsidRDefault="00D11197" w:rsidP="00D11197">
            <w:pPr>
              <w:pStyle w:val="Tableheading-leftaligned"/>
            </w:pPr>
            <w:r w:rsidRPr="00675794">
              <w:t>Other key issues</w:t>
            </w:r>
          </w:p>
        </w:tc>
      </w:tr>
      <w:tr w:rsidR="00D11197" w:rsidRPr="00675794" w14:paraId="1B492151" w14:textId="77777777" w:rsidTr="00C60F3E">
        <w:tc>
          <w:tcPr>
            <w:tcW w:w="3023" w:type="dxa"/>
          </w:tcPr>
          <w:p w14:paraId="0488CEAE" w14:textId="77777777" w:rsidR="00D11197" w:rsidRPr="00D11197" w:rsidRDefault="00D11197" w:rsidP="00D11197">
            <w:pPr>
              <w:pStyle w:val="Tabletext"/>
            </w:pPr>
            <w:r w:rsidRPr="00675794">
              <w:t>[</w:t>
            </w:r>
            <w:r w:rsidRPr="00D11197">
              <w:rPr>
                <w:rStyle w:val="Italic"/>
              </w:rPr>
              <w:t>enter information here</w:t>
            </w:r>
            <w:r w:rsidRPr="00D11197">
              <w:t>]</w:t>
            </w:r>
          </w:p>
        </w:tc>
        <w:tc>
          <w:tcPr>
            <w:tcW w:w="3023" w:type="dxa"/>
          </w:tcPr>
          <w:p w14:paraId="0F6D9DE4" w14:textId="77777777" w:rsidR="00D11197" w:rsidRPr="00D11197" w:rsidRDefault="00D11197" w:rsidP="00D11197">
            <w:pPr>
              <w:pStyle w:val="Tabletext"/>
            </w:pPr>
            <w:r w:rsidRPr="00675794">
              <w:t>[</w:t>
            </w:r>
            <w:r w:rsidRPr="00D11197">
              <w:rPr>
                <w:rStyle w:val="Italic"/>
              </w:rPr>
              <w:t>enter information here</w:t>
            </w:r>
            <w:r w:rsidRPr="00D11197">
              <w:t>]</w:t>
            </w:r>
          </w:p>
        </w:tc>
        <w:tc>
          <w:tcPr>
            <w:tcW w:w="3024" w:type="dxa"/>
          </w:tcPr>
          <w:p w14:paraId="7B4EDB89" w14:textId="77777777" w:rsidR="00D11197" w:rsidRPr="00D11197" w:rsidRDefault="00D11197" w:rsidP="00D11197">
            <w:pPr>
              <w:pStyle w:val="Tabletext"/>
            </w:pPr>
            <w:r w:rsidRPr="00675794">
              <w:t>[</w:t>
            </w:r>
            <w:r w:rsidRPr="00D11197">
              <w:rPr>
                <w:rStyle w:val="Italic"/>
              </w:rPr>
              <w:t>enter information here</w:t>
            </w:r>
            <w:r w:rsidRPr="00D11197">
              <w:t>]</w:t>
            </w:r>
          </w:p>
        </w:tc>
      </w:tr>
      <w:tr w:rsidR="00D11197" w:rsidRPr="00675794" w14:paraId="18DEA81C" w14:textId="77777777" w:rsidTr="005920BA">
        <w:tc>
          <w:tcPr>
            <w:tcW w:w="3023" w:type="dxa"/>
          </w:tcPr>
          <w:p w14:paraId="5F8FCE5B" w14:textId="77777777" w:rsidR="00D11197" w:rsidRPr="00D11197" w:rsidRDefault="00D11197" w:rsidP="00D11197">
            <w:pPr>
              <w:pStyle w:val="Tabletext"/>
            </w:pPr>
            <w:r w:rsidRPr="00675794">
              <w:t>[</w:t>
            </w:r>
            <w:r w:rsidRPr="00D11197">
              <w:rPr>
                <w:rStyle w:val="Italic"/>
              </w:rPr>
              <w:t>enter information here</w:t>
            </w:r>
            <w:r w:rsidRPr="00D11197">
              <w:t>]</w:t>
            </w:r>
          </w:p>
        </w:tc>
        <w:tc>
          <w:tcPr>
            <w:tcW w:w="3023" w:type="dxa"/>
          </w:tcPr>
          <w:p w14:paraId="2AEC6029" w14:textId="77777777" w:rsidR="00D11197" w:rsidRPr="00D11197" w:rsidRDefault="00D11197" w:rsidP="00D11197">
            <w:pPr>
              <w:pStyle w:val="Tabletext"/>
            </w:pPr>
            <w:r w:rsidRPr="00675794">
              <w:t>[</w:t>
            </w:r>
            <w:r w:rsidRPr="00D11197">
              <w:rPr>
                <w:rStyle w:val="Italic"/>
              </w:rPr>
              <w:t>enter information here</w:t>
            </w:r>
            <w:r w:rsidRPr="00D11197">
              <w:t>]</w:t>
            </w:r>
          </w:p>
        </w:tc>
        <w:tc>
          <w:tcPr>
            <w:tcW w:w="3024" w:type="dxa"/>
          </w:tcPr>
          <w:p w14:paraId="4931DC56" w14:textId="77777777" w:rsidR="00D11197" w:rsidRPr="00D11197" w:rsidRDefault="00D11197" w:rsidP="00D11197">
            <w:pPr>
              <w:pStyle w:val="Tabletext"/>
            </w:pPr>
            <w:r w:rsidRPr="00675794">
              <w:t>[</w:t>
            </w:r>
            <w:r w:rsidRPr="00D11197">
              <w:rPr>
                <w:rStyle w:val="Italic"/>
              </w:rPr>
              <w:t>enter information here</w:t>
            </w:r>
            <w:r w:rsidRPr="00D11197">
              <w:t>]</w:t>
            </w:r>
          </w:p>
        </w:tc>
      </w:tr>
    </w:tbl>
    <w:p w14:paraId="30E3FDFC" w14:textId="77777777" w:rsidR="00D11197" w:rsidRPr="00675794" w:rsidRDefault="00D11197" w:rsidP="00D11197">
      <w:pPr>
        <w:pStyle w:val="SingleLineText-Half"/>
      </w:pPr>
    </w:p>
    <w:p w14:paraId="35936EC9" w14:textId="77777777" w:rsidR="00D11197" w:rsidRDefault="00D11197">
      <w:pPr>
        <w:pStyle w:val="BodyText"/>
      </w:pPr>
      <w:r w:rsidRPr="00675794">
        <w:t>The significance of the issues and risks may change</w:t>
      </w:r>
      <w:r>
        <w:t>,</w:t>
      </w:r>
      <w:r w:rsidRPr="00675794">
        <w:t xml:space="preserve"> and new developments may emerge during the audit. </w:t>
      </w:r>
      <w:r>
        <w:t>We</w:t>
      </w:r>
      <w:r w:rsidRPr="00675794">
        <w:t xml:space="preserve"> will inform you </w:t>
      </w:r>
      <w:r>
        <w:t>i</w:t>
      </w:r>
      <w:r w:rsidRPr="00675794">
        <w:t>f significant new matters arise and the</w:t>
      </w:r>
      <w:r>
        <w:t>ir</w:t>
      </w:r>
      <w:r w:rsidRPr="00675794">
        <w:t xml:space="preserve"> likely impact on the audit.</w:t>
      </w:r>
    </w:p>
    <w:p w14:paraId="740DDE5F" w14:textId="77777777" w:rsidR="00D11197" w:rsidRPr="00D11197" w:rsidRDefault="00D11197" w:rsidP="00D11197">
      <w:pPr>
        <w:pStyle w:val="Heading1-NumberedRED"/>
      </w:pPr>
      <w:bookmarkStart w:id="42" w:name="_Toc535997567"/>
      <w:bookmarkStart w:id="43" w:name="_Toc535997621"/>
      <w:bookmarkStart w:id="44" w:name="_Toc535997568"/>
      <w:bookmarkStart w:id="45" w:name="_Toc535997622"/>
      <w:bookmarkStart w:id="46" w:name="_Toc535997569"/>
      <w:bookmarkStart w:id="47" w:name="_Toc535997623"/>
      <w:bookmarkStart w:id="48" w:name="_Toc535997570"/>
      <w:bookmarkStart w:id="49" w:name="_Toc535997624"/>
      <w:bookmarkStart w:id="50" w:name="_Toc535997571"/>
      <w:bookmarkStart w:id="51" w:name="_Toc535997625"/>
      <w:bookmarkStart w:id="52" w:name="_Toc535997572"/>
      <w:bookmarkStart w:id="53" w:name="_Toc535997626"/>
      <w:bookmarkStart w:id="54" w:name="_Toc535997573"/>
      <w:bookmarkStart w:id="55" w:name="_Toc535997627"/>
      <w:bookmarkStart w:id="56" w:name="_Toc535997574"/>
      <w:bookmarkStart w:id="57" w:name="_Toc535997628"/>
      <w:bookmarkStart w:id="58" w:name="_Toc535997575"/>
      <w:bookmarkStart w:id="59" w:name="_Toc535997629"/>
      <w:bookmarkStart w:id="60" w:name="_Toc535997576"/>
      <w:bookmarkStart w:id="61" w:name="_Toc535997630"/>
      <w:bookmarkStart w:id="62" w:name="_Toc535997577"/>
      <w:bookmarkStart w:id="63" w:name="_Toc535997631"/>
      <w:bookmarkStart w:id="64" w:name="_Toc535997578"/>
      <w:bookmarkStart w:id="65" w:name="_Toc535997632"/>
      <w:bookmarkStart w:id="66" w:name="_Toc535997579"/>
      <w:bookmarkStart w:id="67" w:name="_Toc535997633"/>
      <w:bookmarkStart w:id="68" w:name="_Toc461177090"/>
      <w:bookmarkStart w:id="69" w:name="_Toc1424944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675794">
        <w:t>AUDIT APPROACH</w:t>
      </w:r>
      <w:bookmarkEnd w:id="68"/>
      <w:bookmarkEnd w:id="69"/>
    </w:p>
    <w:p w14:paraId="5318DC0B" w14:textId="77777777" w:rsidR="00D11197" w:rsidRDefault="00D11197" w:rsidP="00D11197">
      <w:pPr>
        <w:pStyle w:val="Heading2"/>
      </w:pPr>
      <w:r>
        <w:t>Audit approach for key business and accounting processes</w:t>
      </w:r>
    </w:p>
    <w:p w14:paraId="7BBE83CF" w14:textId="77777777" w:rsidR="00D11197" w:rsidRPr="00675794" w:rsidRDefault="00D11197" w:rsidP="00D11197">
      <w:pPr>
        <w:pStyle w:val="BodyText"/>
      </w:pPr>
      <w:r w:rsidRPr="00675794">
        <w:t>The audit approach is developed based on our understanding of the issues, new developments and key risks that may impact the financial statements. We have obtained an understanding of [</w:t>
      </w:r>
      <w:r w:rsidRPr="00D30510">
        <w:rPr>
          <w:rStyle w:val="Italic"/>
        </w:rPr>
        <w:t>abbreviated name</w:t>
      </w:r>
      <w:r w:rsidRPr="00675794">
        <w:t>]’s business and accounting processes and internal controls relevant to the financial statements to help us identify risks that may impact the financial statements.</w:t>
      </w:r>
    </w:p>
    <w:bookmarkStart w:id="70" w:name="Appendix_two"/>
    <w:p w14:paraId="56D39907" w14:textId="77777777" w:rsidR="00D11197" w:rsidRPr="00675794" w:rsidRDefault="00D11197" w:rsidP="00D11197">
      <w:pPr>
        <w:pStyle w:val="BodyText"/>
      </w:pPr>
      <w:r>
        <w:fldChar w:fldCharType="begin"/>
      </w:r>
      <w:r>
        <w:instrText xml:space="preserve"> HYPERLINK  \l "Appendix_one" </w:instrText>
      </w:r>
      <w:r>
        <w:fldChar w:fldCharType="separate"/>
      </w:r>
      <w:r w:rsidRPr="00320CE9">
        <w:rPr>
          <w:rStyle w:val="Hyperlink"/>
        </w:rPr>
        <w:t>Appendix one</w:t>
      </w:r>
      <w:bookmarkEnd w:id="70"/>
      <w:r>
        <w:fldChar w:fldCharType="end"/>
      </w:r>
      <w:r>
        <w:t xml:space="preserve"> </w:t>
      </w:r>
      <w:r w:rsidRPr="00675794">
        <w:t xml:space="preserve">details our observations on the business and accounting processes relevant to the financial statements and our planned audit approach. </w:t>
      </w:r>
      <w:r>
        <w:t>We</w:t>
      </w:r>
      <w:r w:rsidRPr="00675794">
        <w:t xml:space="preserve"> will inform you of significant matters that impact the audit as they are identified.</w:t>
      </w:r>
    </w:p>
    <w:p w14:paraId="0EA29310" w14:textId="77777777" w:rsidR="00D11197" w:rsidRDefault="00D11197" w:rsidP="00D11197">
      <w:pPr>
        <w:pStyle w:val="BodyText"/>
      </w:pPr>
      <w:r w:rsidRPr="00675794">
        <w:t>Your feedback on the planned audit approach is welcomed.</w:t>
      </w:r>
    </w:p>
    <w:p w14:paraId="0DF08769" w14:textId="77777777" w:rsidR="00D11197" w:rsidRPr="00675794" w:rsidRDefault="00D11197" w:rsidP="00D11197">
      <w:pPr>
        <w:pStyle w:val="Heading2"/>
      </w:pPr>
      <w:r w:rsidRPr="00675794">
        <w:t>Follow up of issues identified in the previous audit</w:t>
      </w:r>
    </w:p>
    <w:p w14:paraId="5F877C44" w14:textId="1945159F" w:rsidR="00D11197" w:rsidRDefault="00D11197" w:rsidP="00D11197">
      <w:pPr>
        <w:pStyle w:val="BodyText"/>
      </w:pPr>
      <w:r w:rsidRPr="00675794">
        <w:t>The audit team will examine, update and report on the status of issues raised in last year’s Engagement Closing Report and Management Letter[s].</w:t>
      </w:r>
    </w:p>
    <w:p w14:paraId="6BB73496" w14:textId="77777777" w:rsidR="00D11197" w:rsidRPr="00D11197" w:rsidRDefault="00D11197" w:rsidP="00D11197">
      <w:pPr>
        <w:pStyle w:val="Heading1-NumberedRED"/>
      </w:pPr>
      <w:bookmarkStart w:id="71" w:name="_Toc535997637"/>
      <w:bookmarkStart w:id="72" w:name="_Toc535997638"/>
      <w:bookmarkStart w:id="73" w:name="_Toc535997639"/>
      <w:bookmarkStart w:id="74" w:name="_Toc535997640"/>
      <w:bookmarkStart w:id="75" w:name="_Toc535997641"/>
      <w:bookmarkStart w:id="76" w:name="_Toc535997642"/>
      <w:bookmarkStart w:id="77" w:name="_Toc535997643"/>
      <w:bookmarkStart w:id="78" w:name="_Toc535997644"/>
      <w:bookmarkStart w:id="79" w:name="_Toc535997645"/>
      <w:bookmarkStart w:id="80" w:name="_Toc535997646"/>
      <w:bookmarkStart w:id="81" w:name="_Toc535997647"/>
      <w:bookmarkStart w:id="82" w:name="_Toc535997650"/>
      <w:bookmarkStart w:id="83" w:name="_Toc535997651"/>
      <w:bookmarkStart w:id="84" w:name="_Toc535997654"/>
      <w:bookmarkStart w:id="85" w:name="_Toc535997655"/>
      <w:bookmarkStart w:id="86" w:name="_Toc535997656"/>
      <w:bookmarkStart w:id="87" w:name="_Toc1424944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w:t>
      </w:r>
      <w:r w:rsidRPr="00D11197">
        <w:t>EARLY/HARD] CLOSE PROCEDURES</w:t>
      </w:r>
      <w:bookmarkEnd w:id="87"/>
    </w:p>
    <w:tbl>
      <w:tblPr>
        <w:tblStyle w:val="TableGrid"/>
        <w:tblW w:w="9070" w:type="dxa"/>
        <w:shd w:val="clear" w:color="auto" w:fill="D9D9D9" w:themeFill="background1" w:themeFillShade="D9"/>
        <w:tblLook w:val="04A0" w:firstRow="1" w:lastRow="0" w:firstColumn="1" w:lastColumn="0" w:noHBand="0" w:noVBand="1"/>
      </w:tblPr>
      <w:tblGrid>
        <w:gridCol w:w="9070"/>
      </w:tblGrid>
      <w:tr w:rsidR="00D11197" w:rsidRPr="006E7FAD" w14:paraId="593ABD3D" w14:textId="77777777" w:rsidTr="00C60F3E">
        <w:trPr>
          <w:trHeight w:val="287"/>
        </w:trPr>
        <w:tc>
          <w:tcPr>
            <w:tcW w:w="9072" w:type="dxa"/>
            <w:shd w:val="clear" w:color="auto" w:fill="D9D9D9" w:themeFill="background1" w:themeFillShade="D9"/>
          </w:tcPr>
          <w:p w14:paraId="6E69504E" w14:textId="567152E8" w:rsidR="00D11197" w:rsidRPr="00D11197" w:rsidRDefault="00D11197" w:rsidP="00D11197">
            <w:pPr>
              <w:pStyle w:val="Tabletext"/>
              <w:rPr>
                <w:rStyle w:val="Bold"/>
              </w:rPr>
            </w:pPr>
            <w:r w:rsidRPr="006E7FAD">
              <w:rPr>
                <w:rStyle w:val="Bold"/>
              </w:rPr>
              <w:t>The wording below only applies to 31</w:t>
            </w:r>
            <w:r w:rsidR="00F95062">
              <w:rPr>
                <w:rStyle w:val="Bold"/>
              </w:rPr>
              <w:t> December </w:t>
            </w:r>
            <w:r w:rsidRPr="00D11197">
              <w:rPr>
                <w:rStyle w:val="Bold"/>
              </w:rPr>
              <w:t>engagements if early/hard close procedures are planned.</w:t>
            </w:r>
          </w:p>
        </w:tc>
      </w:tr>
    </w:tbl>
    <w:p w14:paraId="3D7AC592" w14:textId="77777777" w:rsidR="00D11197" w:rsidRPr="00675794" w:rsidRDefault="00D11197" w:rsidP="00D11197">
      <w:pPr>
        <w:pStyle w:val="BodyText"/>
      </w:pPr>
    </w:p>
    <w:p w14:paraId="29FA47E9" w14:textId="77777777" w:rsidR="00D11197" w:rsidRPr="00675794" w:rsidRDefault="00D11197" w:rsidP="00D11197">
      <w:pPr>
        <w:pStyle w:val="BodyText"/>
      </w:pPr>
      <w:r w:rsidRPr="00675794">
        <w:t>The [</w:t>
      </w:r>
      <w:r w:rsidRPr="00D30510">
        <w:rPr>
          <w:rStyle w:val="Italic"/>
        </w:rPr>
        <w:t xml:space="preserve">abbreviated </w:t>
      </w:r>
      <w:r w:rsidRPr="00675794">
        <w:rPr>
          <w:rStyle w:val="Italic"/>
        </w:rPr>
        <w:t>name</w:t>
      </w:r>
      <w:r w:rsidRPr="00675794">
        <w:t>] is planning the following [early/hard] close procedures:</w:t>
      </w:r>
    </w:p>
    <w:p w14:paraId="01A56F45" w14:textId="77777777" w:rsidR="00D11197" w:rsidRPr="00BC25FF" w:rsidRDefault="00D11197" w:rsidP="00D11197">
      <w:pPr>
        <w:pStyle w:val="Bullet1stlevel"/>
      </w:pPr>
      <w:r w:rsidRPr="00675794">
        <w:t>[</w:t>
      </w:r>
      <w:r w:rsidRPr="00BC25FF">
        <w:rPr>
          <w:rStyle w:val="Italic"/>
        </w:rPr>
        <w:t>list these procedures with as much detail as needed after considering the auditee’s attitude to and understanding of early/hard close procedures</w:t>
      </w:r>
      <w:r w:rsidRPr="00BC25FF">
        <w:t>].</w:t>
      </w:r>
    </w:p>
    <w:p w14:paraId="42AA5154" w14:textId="77777777" w:rsidR="00D11197" w:rsidRPr="00675794" w:rsidRDefault="00D11197" w:rsidP="00D11197">
      <w:pPr>
        <w:pStyle w:val="SingleLineText-Half"/>
      </w:pPr>
    </w:p>
    <w:p w14:paraId="1AFEE440" w14:textId="77777777" w:rsidR="00D11197" w:rsidRPr="00675794" w:rsidRDefault="00D11197" w:rsidP="00D11197">
      <w:pPr>
        <w:pStyle w:val="BodyText"/>
      </w:pPr>
      <w:r w:rsidRPr="00675794">
        <w:t>The [</w:t>
      </w:r>
      <w:r w:rsidRPr="00675794">
        <w:rPr>
          <w:rStyle w:val="Italic"/>
        </w:rPr>
        <w:t>abbreviated name</w:t>
      </w:r>
      <w:r w:rsidRPr="00675794">
        <w:t xml:space="preserve">] has agreed to give the outcomes of its [early/hard] close procedures to the audit team by the dates in the </w:t>
      </w:r>
      <w:r>
        <w:t>Engagement</w:t>
      </w:r>
      <w:r w:rsidRPr="00675794">
        <w:t xml:space="preserve"> Timetable. The Engagement Information Request [will detail/details] the work papers and supporting documents needed for timely completion of the audit.</w:t>
      </w:r>
    </w:p>
    <w:p w14:paraId="3F873D4C" w14:textId="54867C46" w:rsidR="00D11197" w:rsidRPr="00675794" w:rsidRDefault="00D11197" w:rsidP="00D11197">
      <w:pPr>
        <w:pStyle w:val="BodyText"/>
      </w:pPr>
      <w:r w:rsidRPr="00675794">
        <w:t>The audit team will give management its observations on the [early/hard] close outcomes in time for them to be considered in the [</w:t>
      </w:r>
      <w:r w:rsidRPr="00675794">
        <w:rPr>
          <w:rStyle w:val="Italic"/>
        </w:rPr>
        <w:t>abbreviated name</w:t>
      </w:r>
      <w:r w:rsidRPr="00675794">
        <w:t>]’s year</w:t>
      </w:r>
      <w:r w:rsidR="00F95062">
        <w:noBreakHyphen/>
      </w:r>
      <w:r w:rsidRPr="00675794">
        <w:t>end financial reporting process.</w:t>
      </w:r>
    </w:p>
    <w:p w14:paraId="4247627A" w14:textId="77777777" w:rsidR="00D11197" w:rsidRPr="00D11197" w:rsidRDefault="00D11197" w:rsidP="00D11197">
      <w:pPr>
        <w:pStyle w:val="Heading1-NumberedRED"/>
      </w:pPr>
      <w:bookmarkStart w:id="88" w:name="_Toc9354438"/>
      <w:bookmarkStart w:id="89" w:name="_Toc9354439"/>
      <w:bookmarkStart w:id="90" w:name="_Toc9354440"/>
      <w:bookmarkStart w:id="91" w:name="_Toc9354441"/>
      <w:bookmarkStart w:id="92" w:name="_Toc9354442"/>
      <w:bookmarkStart w:id="93" w:name="_Toc9354443"/>
      <w:bookmarkStart w:id="94" w:name="_Toc9354444"/>
      <w:bookmarkStart w:id="95" w:name="_Toc9354445"/>
      <w:bookmarkStart w:id="96" w:name="_Toc9354446"/>
      <w:bookmarkStart w:id="97" w:name="_Toc9354447"/>
      <w:bookmarkStart w:id="98" w:name="_Toc9354448"/>
      <w:bookmarkStart w:id="99" w:name="_Toc9354449"/>
      <w:bookmarkStart w:id="100" w:name="_Toc9354450"/>
      <w:bookmarkStart w:id="101" w:name="_Toc9354457"/>
      <w:bookmarkStart w:id="102" w:name="_Toc9354460"/>
      <w:bookmarkStart w:id="103" w:name="_Toc9354461"/>
      <w:bookmarkStart w:id="104" w:name="_Toc9354462"/>
      <w:bookmarkStart w:id="105" w:name="_Toc9354465"/>
      <w:bookmarkStart w:id="106" w:name="_Toc9354466"/>
      <w:bookmarkStart w:id="107" w:name="_Toc9354467"/>
      <w:bookmarkStart w:id="108" w:name="_Toc9354468"/>
      <w:bookmarkStart w:id="109" w:name="_Toc9354471"/>
      <w:bookmarkStart w:id="110" w:name="_Toc9354472"/>
      <w:bookmarkStart w:id="111" w:name="_Toc427574516"/>
      <w:bookmarkStart w:id="112" w:name="_Toc427916961"/>
      <w:bookmarkStart w:id="113" w:name="_Toc428203660"/>
      <w:bookmarkStart w:id="114" w:name="_Toc428203740"/>
      <w:bookmarkStart w:id="115" w:name="_Toc428258155"/>
      <w:bookmarkStart w:id="116" w:name="_Toc427574520"/>
      <w:bookmarkStart w:id="117" w:name="_Toc427916965"/>
      <w:bookmarkStart w:id="118" w:name="_Toc428203664"/>
      <w:bookmarkStart w:id="119" w:name="_Toc428203744"/>
      <w:bookmarkStart w:id="120" w:name="_Toc428258159"/>
      <w:bookmarkStart w:id="121" w:name="_Toc427574525"/>
      <w:bookmarkStart w:id="122" w:name="_Toc427916970"/>
      <w:bookmarkStart w:id="123" w:name="_Toc428203669"/>
      <w:bookmarkStart w:id="124" w:name="_Toc428203749"/>
      <w:bookmarkStart w:id="125" w:name="_Toc428258164"/>
      <w:bookmarkStart w:id="126" w:name="_Toc427574529"/>
      <w:bookmarkStart w:id="127" w:name="_Toc427916974"/>
      <w:bookmarkStart w:id="128" w:name="_Toc428203673"/>
      <w:bookmarkStart w:id="129" w:name="_Toc428203753"/>
      <w:bookmarkStart w:id="130" w:name="_Toc428258168"/>
      <w:bookmarkStart w:id="131" w:name="_Toc427574531"/>
      <w:bookmarkStart w:id="132" w:name="_Toc427916976"/>
      <w:bookmarkStart w:id="133" w:name="_Toc428203675"/>
      <w:bookmarkStart w:id="134" w:name="_Toc428203755"/>
      <w:bookmarkStart w:id="135" w:name="_Toc428258170"/>
      <w:bookmarkStart w:id="136" w:name="_Toc427574532"/>
      <w:bookmarkStart w:id="137" w:name="_Toc427916977"/>
      <w:bookmarkStart w:id="138" w:name="_Toc428203676"/>
      <w:bookmarkStart w:id="139" w:name="_Toc428203756"/>
      <w:bookmarkStart w:id="140" w:name="_Toc428258171"/>
      <w:bookmarkStart w:id="141" w:name="_Toc427574533"/>
      <w:bookmarkStart w:id="142" w:name="_Toc427916978"/>
      <w:bookmarkStart w:id="143" w:name="_Toc428203677"/>
      <w:bookmarkStart w:id="144" w:name="_Toc428203757"/>
      <w:bookmarkStart w:id="145" w:name="_Toc428258172"/>
      <w:bookmarkStart w:id="146" w:name="_Toc427574534"/>
      <w:bookmarkStart w:id="147" w:name="_Toc427916979"/>
      <w:bookmarkStart w:id="148" w:name="_Toc428203678"/>
      <w:bookmarkStart w:id="149" w:name="_Toc428203758"/>
      <w:bookmarkStart w:id="150" w:name="_Toc428258173"/>
      <w:bookmarkStart w:id="151" w:name="_Toc427574535"/>
      <w:bookmarkStart w:id="152" w:name="_Toc427916980"/>
      <w:bookmarkStart w:id="153" w:name="_Toc428203679"/>
      <w:bookmarkStart w:id="154" w:name="_Toc428203759"/>
      <w:bookmarkStart w:id="155" w:name="_Toc428258174"/>
      <w:bookmarkStart w:id="156" w:name="_Toc427574536"/>
      <w:bookmarkStart w:id="157" w:name="_Toc427916981"/>
      <w:bookmarkStart w:id="158" w:name="_Toc428203680"/>
      <w:bookmarkStart w:id="159" w:name="_Toc428203760"/>
      <w:bookmarkStart w:id="160" w:name="_Toc428258175"/>
      <w:bookmarkStart w:id="161" w:name="_Toc400697299"/>
      <w:bookmarkStart w:id="162" w:name="_Toc14249446"/>
      <w:bookmarkStart w:id="163" w:name="_Toc46117709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75794">
        <w:t>ENGAGEMENT</w:t>
      </w:r>
      <w:r w:rsidRPr="00D11197">
        <w:t xml:space="preserve"> COMMUNICATIONS</w:t>
      </w:r>
      <w:bookmarkEnd w:id="162"/>
    </w:p>
    <w:p w14:paraId="4799C24E" w14:textId="77777777" w:rsidR="00D11197" w:rsidRPr="00675794" w:rsidRDefault="00D11197" w:rsidP="00D11197">
      <w:pPr>
        <w:pStyle w:val="Heading2"/>
      </w:pPr>
      <w:r w:rsidRPr="00675794">
        <w:t>Communications to ‘Those Charged with Governance’</w:t>
      </w:r>
    </w:p>
    <w:p w14:paraId="70BFF7F6" w14:textId="77777777" w:rsidR="00D11197" w:rsidRPr="00675794" w:rsidRDefault="00D11197" w:rsidP="00D11197">
      <w:pPr>
        <w:pStyle w:val="BodyText"/>
      </w:pPr>
      <w:r w:rsidRPr="00675794">
        <w:t>Senior members of the audit team will attend meetings of the Audit and Risk Committee and brief those charged with governance on audit progress, identified issues and their resolution.</w:t>
      </w:r>
    </w:p>
    <w:tbl>
      <w:tblPr>
        <w:tblStyle w:val="TableGrid"/>
        <w:tblW w:w="9070" w:type="dxa"/>
        <w:tblLook w:val="04A0" w:firstRow="1" w:lastRow="0" w:firstColumn="1" w:lastColumn="0" w:noHBand="0" w:noVBand="1"/>
      </w:tblPr>
      <w:tblGrid>
        <w:gridCol w:w="9070"/>
      </w:tblGrid>
      <w:tr w:rsidR="00D11197" w:rsidRPr="006E7FAD" w14:paraId="676AA11A" w14:textId="77777777" w:rsidTr="00C60F3E">
        <w:tc>
          <w:tcPr>
            <w:tcW w:w="9072" w:type="dxa"/>
            <w:shd w:val="clear" w:color="auto" w:fill="D9D9D9" w:themeFill="background1" w:themeFillShade="D9"/>
          </w:tcPr>
          <w:p w14:paraId="0F98791A" w14:textId="77777777" w:rsidR="00D11197" w:rsidRPr="00D11197" w:rsidRDefault="00D11197" w:rsidP="00D11197">
            <w:pPr>
              <w:pStyle w:val="Tabletext"/>
              <w:rPr>
                <w:rStyle w:val="Bold"/>
              </w:rPr>
            </w:pPr>
            <w:r w:rsidRPr="006E7FAD">
              <w:rPr>
                <w:rStyle w:val="Bold"/>
              </w:rPr>
              <w:t>Select either option below as appropriate.</w:t>
            </w:r>
          </w:p>
        </w:tc>
      </w:tr>
    </w:tbl>
    <w:p w14:paraId="00B3474E" w14:textId="77777777" w:rsidR="00D11197" w:rsidRPr="00675794" w:rsidRDefault="00D11197">
      <w:pPr>
        <w:pStyle w:val="BodyText"/>
      </w:pPr>
    </w:p>
    <w:p w14:paraId="78C31B2D" w14:textId="465A7C25" w:rsidR="00D11197" w:rsidRPr="00675794" w:rsidRDefault="00D11197" w:rsidP="00D11197">
      <w:pPr>
        <w:pStyle w:val="BodyText"/>
      </w:pPr>
      <w:r>
        <w:t>We</w:t>
      </w:r>
      <w:r w:rsidRPr="00675794">
        <w:t xml:space="preserve"> have discussed the meeting schedule(s) with management and those charged with governance. The Audit Timetable details the meetings we plan to attend.</w:t>
      </w:r>
    </w:p>
    <w:p w14:paraId="6FF6951E" w14:textId="77777777" w:rsidR="00D11197" w:rsidRPr="004E6427" w:rsidRDefault="00D11197" w:rsidP="00D11197">
      <w:pPr>
        <w:pStyle w:val="BodyText"/>
      </w:pPr>
      <w:r w:rsidRPr="004E6427">
        <w:t>[OR]</w:t>
      </w:r>
    </w:p>
    <w:p w14:paraId="61C38A5F" w14:textId="77777777" w:rsidR="00D11197" w:rsidRPr="00675794" w:rsidRDefault="00D11197" w:rsidP="00D11197">
      <w:pPr>
        <w:pStyle w:val="BodyText"/>
      </w:pPr>
      <w:r>
        <w:t>We</w:t>
      </w:r>
      <w:r w:rsidRPr="00675794">
        <w:t xml:space="preserve"> will liaise with management and those charged with governance to determine the meetings we will attend.</w:t>
      </w:r>
    </w:p>
    <w:p w14:paraId="25A03CB3" w14:textId="77777777" w:rsidR="00D11197" w:rsidRPr="00675794" w:rsidRDefault="00D11197" w:rsidP="00D11197">
      <w:pPr>
        <w:pStyle w:val="BodyText"/>
      </w:pPr>
      <w:r w:rsidRPr="00675794">
        <w:t>The audit team has identified those charged with governance for the [</w:t>
      </w:r>
      <w:r w:rsidRPr="00D30510">
        <w:rPr>
          <w:rStyle w:val="Italic"/>
        </w:rPr>
        <w:t>abbreviated name</w:t>
      </w:r>
      <w:r w:rsidRPr="00675794">
        <w:t>] 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9070"/>
      </w:tblGrid>
      <w:tr w:rsidR="00D11197" w:rsidRPr="006E7FAD" w14:paraId="777F51B9" w14:textId="77777777" w:rsidTr="00C60F3E">
        <w:tc>
          <w:tcPr>
            <w:tcW w:w="5000" w:type="pct"/>
            <w:shd w:val="clear" w:color="auto" w:fill="D9D9D9" w:themeFill="background1" w:themeFillShade="D9"/>
          </w:tcPr>
          <w:p w14:paraId="0F455EDF" w14:textId="28561745" w:rsidR="00D11197" w:rsidRPr="00D11197" w:rsidRDefault="00D11197" w:rsidP="00D11197">
            <w:pPr>
              <w:pStyle w:val="Tablebullet"/>
              <w:rPr>
                <w:rStyle w:val="Bold"/>
              </w:rPr>
            </w:pPr>
            <w:r w:rsidRPr="007F4EEB">
              <w:rPr>
                <w:rStyle w:val="Bold"/>
              </w:rPr>
              <w:t xml:space="preserve">List those charged with governance </w:t>
            </w:r>
            <w:r w:rsidR="00F95062">
              <w:rPr>
                <w:rStyle w:val="Bold"/>
              </w:rPr>
              <w:noBreakHyphen/>
            </w:r>
            <w:r w:rsidRPr="00D11197">
              <w:rPr>
                <w:rStyle w:val="Bold"/>
              </w:rPr>
              <w:t xml:space="preserve"> refer to Guidance Note ‘Determining who are those charged with governance of a public</w:t>
            </w:r>
            <w:r w:rsidR="00F95062">
              <w:rPr>
                <w:rStyle w:val="Bold"/>
              </w:rPr>
              <w:noBreakHyphen/>
            </w:r>
            <w:r w:rsidRPr="00D11197">
              <w:rPr>
                <w:rStyle w:val="Bold"/>
              </w:rPr>
              <w:t>sector organisation’ on Alfie.</w:t>
            </w:r>
          </w:p>
          <w:p w14:paraId="73553B32" w14:textId="77777777" w:rsidR="00D11197" w:rsidRPr="00D11197" w:rsidRDefault="00D11197" w:rsidP="00D11197">
            <w:pPr>
              <w:pStyle w:val="Tablebullet"/>
              <w:rPr>
                <w:rStyle w:val="Bold"/>
              </w:rPr>
            </w:pPr>
            <w:r w:rsidRPr="00206E0E">
              <w:rPr>
                <w:rStyle w:val="Bold"/>
              </w:rPr>
              <w:t>Identify relevant persons from the list you will communicate with and the reports they will receive.</w:t>
            </w:r>
          </w:p>
          <w:p w14:paraId="27CCD11F" w14:textId="77777777" w:rsidR="00D11197" w:rsidRPr="00D11197" w:rsidRDefault="00D11197" w:rsidP="00D11197">
            <w:pPr>
              <w:pStyle w:val="Tablebullet"/>
              <w:rPr>
                <w:rStyle w:val="Bold"/>
              </w:rPr>
            </w:pPr>
            <w:r w:rsidRPr="00EB2A9D">
              <w:rPr>
                <w:rStyle w:val="Bold"/>
              </w:rPr>
              <w:t xml:space="preserve">Determine whether those charged with </w:t>
            </w:r>
            <w:r w:rsidRPr="00D11197">
              <w:rPr>
                <w:rStyle w:val="Bold"/>
              </w:rPr>
              <w:t>governance of controlled entities should be listed if only one AEP is to be issued for the parent and its controlled entities.</w:t>
            </w:r>
          </w:p>
        </w:tc>
      </w:tr>
    </w:tbl>
    <w:p w14:paraId="6A6F20A3" w14:textId="77777777" w:rsidR="00D11197" w:rsidRPr="00675794" w:rsidRDefault="00D11197" w:rsidP="00D11197">
      <w:pPr>
        <w:pStyle w:val="BodyText"/>
      </w:pPr>
    </w:p>
    <w:p w14:paraId="444405ED" w14:textId="09C76B8A" w:rsidR="00D11197" w:rsidRPr="00675794" w:rsidRDefault="00D11197" w:rsidP="00D11197">
      <w:pPr>
        <w:pStyle w:val="BodyText"/>
      </w:pPr>
      <w:r w:rsidRPr="00675794">
        <w:t xml:space="preserve">Please advise the audit team if additional persons charged with governance should be included in these communications. The </w:t>
      </w:r>
      <w:hyperlink r:id="rId24" w:history="1">
        <w:r w:rsidRPr="00675794">
          <w:rPr>
            <w:rStyle w:val="Hyperlink"/>
          </w:rPr>
          <w:t>Terms of Engagement</w:t>
        </w:r>
      </w:hyperlink>
      <w:r w:rsidRPr="00675794">
        <w:t xml:space="preserve"> contain</w:t>
      </w:r>
      <w:r>
        <w:t>s</w:t>
      </w:r>
      <w:r w:rsidRPr="00675794">
        <w:t xml:space="preserve"> more information on the Audit Office’s communication obligations.</w:t>
      </w:r>
    </w:p>
    <w:p w14:paraId="00A4207B" w14:textId="77777777" w:rsidR="00D11197" w:rsidRPr="00D11197" w:rsidRDefault="00D11197" w:rsidP="00D11197">
      <w:pPr>
        <w:pStyle w:val="Heading1-NumberedRED"/>
      </w:pPr>
      <w:bookmarkStart w:id="164" w:name="_Toc535997586"/>
      <w:bookmarkStart w:id="165" w:name="_Toc535997662"/>
      <w:bookmarkStart w:id="166" w:name="_Toc535997587"/>
      <w:bookmarkStart w:id="167" w:name="_Toc535997663"/>
      <w:bookmarkStart w:id="168" w:name="_Toc535997588"/>
      <w:bookmarkStart w:id="169" w:name="_Toc535997664"/>
      <w:bookmarkStart w:id="170" w:name="_Toc535997589"/>
      <w:bookmarkStart w:id="171" w:name="_Toc535997665"/>
      <w:bookmarkStart w:id="172" w:name="_Toc535997590"/>
      <w:bookmarkStart w:id="173" w:name="_Toc535997666"/>
      <w:bookmarkStart w:id="174" w:name="_Toc535997591"/>
      <w:bookmarkStart w:id="175" w:name="_Toc535997667"/>
      <w:bookmarkStart w:id="176" w:name="_Toc535997592"/>
      <w:bookmarkStart w:id="177" w:name="_Toc535997668"/>
      <w:bookmarkStart w:id="178" w:name="_Toc535997593"/>
      <w:bookmarkStart w:id="179" w:name="_Toc535997669"/>
      <w:bookmarkStart w:id="180" w:name="_Toc535997594"/>
      <w:bookmarkStart w:id="181" w:name="_Toc535997670"/>
      <w:bookmarkStart w:id="182" w:name="_Toc535997595"/>
      <w:bookmarkStart w:id="183" w:name="_Toc535997671"/>
      <w:bookmarkStart w:id="184" w:name="_Toc535997596"/>
      <w:bookmarkStart w:id="185" w:name="_Toc535997672"/>
      <w:bookmarkStart w:id="186" w:name="_Toc535997597"/>
      <w:bookmarkStart w:id="187" w:name="_Toc535997673"/>
      <w:bookmarkStart w:id="188" w:name="_Toc535997598"/>
      <w:bookmarkStart w:id="189" w:name="_Toc535997674"/>
      <w:bookmarkStart w:id="190" w:name="_Toc535997599"/>
      <w:bookmarkStart w:id="191" w:name="_Toc535997675"/>
      <w:bookmarkStart w:id="192" w:name="_Toc535997600"/>
      <w:bookmarkStart w:id="193" w:name="_Toc535997676"/>
      <w:bookmarkStart w:id="194" w:name="_Toc535997603"/>
      <w:bookmarkStart w:id="195" w:name="_Toc535997679"/>
      <w:bookmarkStart w:id="196" w:name="_Toc520383470"/>
      <w:bookmarkStart w:id="197" w:name="_Toc520383547"/>
      <w:bookmarkStart w:id="198" w:name="_Toc1424944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75794">
        <w:t>ENGAGEMENT</w:t>
      </w:r>
      <w:r w:rsidRPr="00D11197">
        <w:t xml:space="preserve"> TIMETABLE</w:t>
      </w:r>
      <w:bookmarkEnd w:id="198"/>
    </w:p>
    <w:tbl>
      <w:tblPr>
        <w:tblStyle w:val="TableGrid"/>
        <w:tblW w:w="9070" w:type="dxa"/>
        <w:shd w:val="clear" w:color="auto" w:fill="D9D9D9" w:themeFill="background1" w:themeFillShade="D9"/>
        <w:tblLook w:val="04A0" w:firstRow="1" w:lastRow="0" w:firstColumn="1" w:lastColumn="0" w:noHBand="0" w:noVBand="1"/>
      </w:tblPr>
      <w:tblGrid>
        <w:gridCol w:w="9070"/>
      </w:tblGrid>
      <w:tr w:rsidR="00D11197" w:rsidRPr="00675794" w14:paraId="6913B677" w14:textId="77777777" w:rsidTr="00C60F3E">
        <w:tc>
          <w:tcPr>
            <w:tcW w:w="9072" w:type="dxa"/>
            <w:shd w:val="clear" w:color="auto" w:fill="D9D9D9" w:themeFill="background1" w:themeFillShade="D9"/>
          </w:tcPr>
          <w:p w14:paraId="1F5EC26B" w14:textId="1179B8AC" w:rsidR="00D11197" w:rsidRPr="00D11197" w:rsidRDefault="00D11197" w:rsidP="00D11197">
            <w:pPr>
              <w:pStyle w:val="Tabletext"/>
              <w:rPr>
                <w:rStyle w:val="Bold"/>
              </w:rPr>
            </w:pPr>
            <w:r w:rsidRPr="0002342B">
              <w:rPr>
                <w:rStyle w:val="Bold"/>
              </w:rPr>
              <w:t>The timetable below applies to all engagements but can be tailored as appropriate.</w:t>
            </w:r>
          </w:p>
          <w:p w14:paraId="11553AA9" w14:textId="41608AD2" w:rsidR="00D11197" w:rsidRPr="00D11197" w:rsidRDefault="00D11197" w:rsidP="00D11197">
            <w:pPr>
              <w:pStyle w:val="Tabletext"/>
              <w:rPr>
                <w:rStyle w:val="Bold"/>
              </w:rPr>
            </w:pPr>
            <w:r w:rsidRPr="0002342B">
              <w:rPr>
                <w:rStyle w:val="Bold"/>
              </w:rPr>
              <w:t>For 31</w:t>
            </w:r>
            <w:r w:rsidR="00F95062">
              <w:rPr>
                <w:rStyle w:val="Bold"/>
              </w:rPr>
              <w:t> December </w:t>
            </w:r>
            <w:r w:rsidRPr="00D11197">
              <w:rPr>
                <w:rStyle w:val="Bold"/>
              </w:rPr>
              <w:t>engagements remove references to early close procedures if they will not be performed.</w:t>
            </w:r>
          </w:p>
          <w:p w14:paraId="0DB80E92" w14:textId="77777777" w:rsidR="00D11197" w:rsidRPr="00D11197" w:rsidRDefault="00D11197" w:rsidP="00D11197">
            <w:pPr>
              <w:pStyle w:val="Tabletext"/>
              <w:rPr>
                <w:rStyle w:val="Bold"/>
              </w:rPr>
            </w:pPr>
            <w:r w:rsidRPr="0002342B">
              <w:rPr>
                <w:rStyle w:val="Bold"/>
              </w:rPr>
              <w:t>Include scheduled Audit and Risk Committee meetings in the timetable to show how they coincide with other critical dates.</w:t>
            </w:r>
          </w:p>
        </w:tc>
      </w:tr>
    </w:tbl>
    <w:p w14:paraId="344BD700" w14:textId="77777777" w:rsidR="00D11197" w:rsidRPr="00675794" w:rsidRDefault="00D11197" w:rsidP="00D11197">
      <w:pPr>
        <w:pStyle w:val="BodyText"/>
      </w:pPr>
    </w:p>
    <w:p w14:paraId="5C83DC09" w14:textId="2FBA849D" w:rsidR="00D11197" w:rsidRDefault="00D11197" w:rsidP="00D11197">
      <w:pPr>
        <w:pStyle w:val="BodyText"/>
      </w:pPr>
      <w:r w:rsidRPr="00675794">
        <w:t xml:space="preserve">The </w:t>
      </w:r>
      <w:r>
        <w:t>engagement</w:t>
      </w:r>
      <w:r w:rsidRPr="00675794">
        <w:t xml:space="preserve"> timetable, designed to achieve statutory financial reporting requirements, has been discussed and agreed with [</w:t>
      </w:r>
      <w:r w:rsidRPr="00675794">
        <w:rPr>
          <w:rStyle w:val="Italic"/>
        </w:rPr>
        <w:t>name and title of auditee officer</w:t>
      </w:r>
      <w:r w:rsidRPr="00675794">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70"/>
      </w:tblGrid>
      <w:tr w:rsidR="00D11197" w:rsidRPr="0002342B" w14:paraId="2F909AE0" w14:textId="77777777" w:rsidTr="00C60F3E">
        <w:tc>
          <w:tcPr>
            <w:tcW w:w="5000" w:type="pct"/>
            <w:shd w:val="clear" w:color="auto" w:fill="D9D9D9" w:themeFill="background1" w:themeFillShade="D9"/>
          </w:tcPr>
          <w:p w14:paraId="499D3895" w14:textId="77777777" w:rsidR="00D11197" w:rsidRPr="00D11197" w:rsidRDefault="00D11197" w:rsidP="00D11197">
            <w:pPr>
              <w:pStyle w:val="Tabletext"/>
              <w:rPr>
                <w:rStyle w:val="Bold"/>
              </w:rPr>
            </w:pPr>
            <w:r w:rsidRPr="0002342B">
              <w:rPr>
                <w:rStyle w:val="Bold"/>
              </w:rPr>
              <w:t>Include the paragraph below if emailing the Engagement Information Request (renamed Client Assistance Schedule) together with the AEP. Tailor the paragraph as required.</w:t>
            </w:r>
          </w:p>
        </w:tc>
      </w:tr>
    </w:tbl>
    <w:p w14:paraId="599248AF" w14:textId="77777777" w:rsidR="00D11197" w:rsidRDefault="00D11197" w:rsidP="00D11197">
      <w:pPr>
        <w:pStyle w:val="SingleLineText-Half"/>
      </w:pPr>
    </w:p>
    <w:p w14:paraId="5BFB3C16" w14:textId="77777777" w:rsidR="00D11197" w:rsidRDefault="00D11197" w:rsidP="00D11197">
      <w:pPr>
        <w:pStyle w:val="BodyText"/>
      </w:pPr>
      <w:r w:rsidRPr="00675794">
        <w:t>The Engagement Information Request accompanies this AE</w:t>
      </w:r>
      <w:r>
        <w:t>P</w:t>
      </w:r>
      <w:r w:rsidRPr="00675794">
        <w:t xml:space="preserve"> with dates agreed with management to deliver the information required for the audit. </w:t>
      </w:r>
      <w:r>
        <w:t>Whilst we make every effort to identify all information requirements in the Engagement Information Request, we may need to request further information during</w:t>
      </w:r>
      <w:r w:rsidRPr="0039696D">
        <w:t xml:space="preserve"> the audit.</w:t>
      </w:r>
    </w:p>
    <w:tbl>
      <w:tblPr>
        <w:tblW w:w="9070" w:type="dxa"/>
        <w:tblBorders>
          <w:bottom w:val="single" w:sz="4" w:space="0" w:color="auto"/>
        </w:tblBorders>
        <w:tblLayout w:type="fixed"/>
        <w:tblLook w:val="0000" w:firstRow="0" w:lastRow="0" w:firstColumn="0" w:lastColumn="0" w:noHBand="0" w:noVBand="0"/>
      </w:tblPr>
      <w:tblGrid>
        <w:gridCol w:w="7135"/>
        <w:gridCol w:w="1935"/>
      </w:tblGrid>
      <w:tr w:rsidR="00D11197" w:rsidRPr="00675794" w14:paraId="768D067E" w14:textId="77777777" w:rsidTr="005920BA">
        <w:trPr>
          <w:tblHeader/>
        </w:trPr>
        <w:tc>
          <w:tcPr>
            <w:tcW w:w="7135" w:type="dxa"/>
            <w:tcBorders>
              <w:bottom w:val="single" w:sz="18" w:space="0" w:color="D9AD5F"/>
            </w:tcBorders>
            <w:shd w:val="clear" w:color="auto" w:fill="EFEFF0"/>
          </w:tcPr>
          <w:p w14:paraId="503D0204" w14:textId="77777777" w:rsidR="00D11197" w:rsidRPr="00D11197" w:rsidRDefault="00D11197" w:rsidP="00D11197">
            <w:pPr>
              <w:pStyle w:val="Tableheading-leftaligned"/>
            </w:pPr>
            <w:r w:rsidRPr="00675794">
              <w:t>Event</w:t>
            </w:r>
          </w:p>
        </w:tc>
        <w:tc>
          <w:tcPr>
            <w:tcW w:w="1935" w:type="dxa"/>
            <w:tcBorders>
              <w:bottom w:val="single" w:sz="18" w:space="0" w:color="D9AD5F"/>
            </w:tcBorders>
            <w:shd w:val="clear" w:color="auto" w:fill="EFEFF0"/>
          </w:tcPr>
          <w:p w14:paraId="4F832E1E" w14:textId="77777777" w:rsidR="00D11197" w:rsidRPr="00D11197" w:rsidRDefault="00D11197" w:rsidP="00D11197">
            <w:pPr>
              <w:pStyle w:val="Tableheading-leftaligned"/>
            </w:pPr>
            <w:r w:rsidRPr="00675794">
              <w:t>Date(s)</w:t>
            </w:r>
          </w:p>
        </w:tc>
      </w:tr>
      <w:tr w:rsidR="00D11197" w:rsidRPr="00675794" w14:paraId="716EB6FC" w14:textId="77777777" w:rsidTr="005920BA">
        <w:tc>
          <w:tcPr>
            <w:tcW w:w="7135" w:type="dxa"/>
            <w:tcBorders>
              <w:top w:val="single" w:sz="18" w:space="0" w:color="D9AD5F"/>
            </w:tcBorders>
            <w:shd w:val="clear" w:color="auto" w:fill="auto"/>
          </w:tcPr>
          <w:p w14:paraId="1B3F088F" w14:textId="77777777" w:rsidR="00D11197" w:rsidRPr="00D11197" w:rsidRDefault="00D11197" w:rsidP="00D11197">
            <w:pPr>
              <w:pStyle w:val="Tablebullet"/>
            </w:pPr>
            <w:r w:rsidRPr="00675794">
              <w:t>Audit team starts audit planning</w:t>
            </w:r>
          </w:p>
        </w:tc>
        <w:tc>
          <w:tcPr>
            <w:tcW w:w="1935" w:type="dxa"/>
            <w:tcBorders>
              <w:top w:val="single" w:sz="18" w:space="0" w:color="D9AD5F"/>
            </w:tcBorders>
            <w:shd w:val="clear" w:color="auto" w:fill="auto"/>
          </w:tcPr>
          <w:p w14:paraId="5C38284B" w14:textId="77777777" w:rsidR="00D11197" w:rsidRPr="00675794" w:rsidRDefault="00D11197" w:rsidP="00D11197">
            <w:pPr>
              <w:pStyle w:val="Tabletext"/>
            </w:pPr>
          </w:p>
        </w:tc>
      </w:tr>
      <w:tr w:rsidR="00D11197" w:rsidRPr="00675794" w14:paraId="3CDC5795" w14:textId="77777777" w:rsidTr="00C60F3E">
        <w:tc>
          <w:tcPr>
            <w:tcW w:w="7135" w:type="dxa"/>
          </w:tcPr>
          <w:p w14:paraId="3F6ED769" w14:textId="77777777" w:rsidR="00D11197" w:rsidRPr="00D11197" w:rsidRDefault="00D11197" w:rsidP="00D11197">
            <w:pPr>
              <w:pStyle w:val="Tablebullet"/>
            </w:pPr>
            <w:r w:rsidRPr="00675794">
              <w:t xml:space="preserve">Audit team emails </w:t>
            </w:r>
            <w:r w:rsidRPr="00D11197">
              <w:t>Engagement Information Request to [Chief Financial Officer/Financial Controller/Finance Director]*</w:t>
            </w:r>
          </w:p>
        </w:tc>
        <w:tc>
          <w:tcPr>
            <w:tcW w:w="1935" w:type="dxa"/>
          </w:tcPr>
          <w:p w14:paraId="1A4AA659" w14:textId="77777777" w:rsidR="00D11197" w:rsidRPr="00675794" w:rsidRDefault="00D11197" w:rsidP="00D11197">
            <w:pPr>
              <w:pStyle w:val="Tabletext"/>
            </w:pPr>
          </w:p>
        </w:tc>
      </w:tr>
      <w:tr w:rsidR="00D11197" w:rsidRPr="00675794" w14:paraId="34CCBA30" w14:textId="77777777" w:rsidTr="00C60F3E">
        <w:tc>
          <w:tcPr>
            <w:tcW w:w="7135" w:type="dxa"/>
          </w:tcPr>
          <w:p w14:paraId="6C18D242" w14:textId="77777777" w:rsidR="00D11197" w:rsidRPr="00D11197" w:rsidRDefault="00D11197" w:rsidP="00D11197">
            <w:pPr>
              <w:pStyle w:val="Tablebullet"/>
            </w:pPr>
            <w:r w:rsidRPr="00675794">
              <w:t xml:space="preserve">Audit </w:t>
            </w:r>
            <w:r w:rsidRPr="00D11197">
              <w:t>team attends Audit and Risk Committee meeting to present the Annual Engagement Plan**</w:t>
            </w:r>
          </w:p>
        </w:tc>
        <w:tc>
          <w:tcPr>
            <w:tcW w:w="1935" w:type="dxa"/>
          </w:tcPr>
          <w:p w14:paraId="0F4713BC" w14:textId="77777777" w:rsidR="00D11197" w:rsidRPr="00675794" w:rsidRDefault="00D11197" w:rsidP="00D11197">
            <w:pPr>
              <w:pStyle w:val="Tabletext"/>
            </w:pPr>
          </w:p>
        </w:tc>
      </w:tr>
      <w:tr w:rsidR="00D11197" w:rsidRPr="00675794" w14:paraId="4C952B67" w14:textId="77777777" w:rsidTr="00C60F3E">
        <w:tc>
          <w:tcPr>
            <w:tcW w:w="7135" w:type="dxa"/>
          </w:tcPr>
          <w:p w14:paraId="2D0F8154" w14:textId="77777777" w:rsidR="00D11197" w:rsidRPr="00D11197" w:rsidRDefault="00D11197" w:rsidP="00D11197">
            <w:pPr>
              <w:pStyle w:val="Tablebullet"/>
            </w:pPr>
            <w:r w:rsidRPr="00675794">
              <w:t>Audit</w:t>
            </w:r>
            <w:r w:rsidRPr="00D11197">
              <w:t xml:space="preserve"> team starts interim audit</w:t>
            </w:r>
          </w:p>
        </w:tc>
        <w:tc>
          <w:tcPr>
            <w:tcW w:w="1935" w:type="dxa"/>
          </w:tcPr>
          <w:p w14:paraId="46E14EB4" w14:textId="77777777" w:rsidR="00D11197" w:rsidRPr="00675794" w:rsidRDefault="00D11197" w:rsidP="00D11197">
            <w:pPr>
              <w:pStyle w:val="Tabletext"/>
            </w:pPr>
          </w:p>
        </w:tc>
      </w:tr>
      <w:tr w:rsidR="00D11197" w:rsidRPr="00675794" w14:paraId="7C9337A1" w14:textId="77777777" w:rsidTr="00C60F3E">
        <w:tc>
          <w:tcPr>
            <w:tcW w:w="7135" w:type="dxa"/>
          </w:tcPr>
          <w:p w14:paraId="11AEEA5C" w14:textId="77777777" w:rsidR="00D11197" w:rsidRPr="00D11197" w:rsidRDefault="00D11197" w:rsidP="00D11197">
            <w:pPr>
              <w:pStyle w:val="Tablebullet"/>
            </w:pPr>
            <w:r w:rsidRPr="00675794">
              <w:t>Management provides early close procedure outcomes to the audit team</w:t>
            </w:r>
          </w:p>
        </w:tc>
        <w:tc>
          <w:tcPr>
            <w:tcW w:w="1935" w:type="dxa"/>
          </w:tcPr>
          <w:p w14:paraId="7E617A06" w14:textId="77777777" w:rsidR="00D11197" w:rsidRPr="00675794" w:rsidRDefault="00D11197" w:rsidP="00D11197">
            <w:pPr>
              <w:pStyle w:val="Tabletext"/>
            </w:pPr>
          </w:p>
        </w:tc>
      </w:tr>
      <w:tr w:rsidR="00D11197" w:rsidRPr="00675794" w14:paraId="272E0D40" w14:textId="77777777" w:rsidTr="00C60F3E">
        <w:tc>
          <w:tcPr>
            <w:tcW w:w="7135" w:type="dxa"/>
          </w:tcPr>
          <w:p w14:paraId="36CA1AA4" w14:textId="77777777" w:rsidR="00D11197" w:rsidRPr="00D11197" w:rsidRDefault="00D11197" w:rsidP="00D11197">
            <w:pPr>
              <w:pStyle w:val="Tablebullet"/>
            </w:pPr>
            <w:r w:rsidRPr="00675794">
              <w:t xml:space="preserve">Audit team reports early close observations to management and Audit and Risk Committee Chair </w:t>
            </w:r>
          </w:p>
        </w:tc>
        <w:tc>
          <w:tcPr>
            <w:tcW w:w="1935" w:type="dxa"/>
          </w:tcPr>
          <w:p w14:paraId="026CE8DD" w14:textId="77777777" w:rsidR="00D11197" w:rsidRPr="00675794" w:rsidRDefault="00D11197" w:rsidP="00D11197">
            <w:pPr>
              <w:pStyle w:val="Tabletext"/>
            </w:pPr>
          </w:p>
        </w:tc>
      </w:tr>
      <w:tr w:rsidR="00D11197" w:rsidRPr="00675794" w14:paraId="5A973AD8" w14:textId="77777777" w:rsidTr="00C60F3E">
        <w:tc>
          <w:tcPr>
            <w:tcW w:w="7135" w:type="dxa"/>
          </w:tcPr>
          <w:p w14:paraId="2CBF151D" w14:textId="77777777" w:rsidR="00D11197" w:rsidRPr="00D11197" w:rsidRDefault="00D11197" w:rsidP="00D11197">
            <w:pPr>
              <w:pStyle w:val="Tablebullet"/>
            </w:pPr>
            <w:r w:rsidRPr="00675794">
              <w:t>Audit Office issues management letter detailing issues from the interim audit</w:t>
            </w:r>
          </w:p>
        </w:tc>
        <w:tc>
          <w:tcPr>
            <w:tcW w:w="1935" w:type="dxa"/>
          </w:tcPr>
          <w:p w14:paraId="3999C13E" w14:textId="77777777" w:rsidR="00D11197" w:rsidRPr="00675794" w:rsidRDefault="00D11197" w:rsidP="00D11197">
            <w:pPr>
              <w:pStyle w:val="Tabletext"/>
            </w:pPr>
          </w:p>
        </w:tc>
      </w:tr>
      <w:tr w:rsidR="00D11197" w:rsidRPr="00675794" w14:paraId="62E9E8ED" w14:textId="77777777" w:rsidTr="00C60F3E">
        <w:tc>
          <w:tcPr>
            <w:tcW w:w="7135" w:type="dxa"/>
          </w:tcPr>
          <w:p w14:paraId="76B949B5" w14:textId="77777777" w:rsidR="00D11197" w:rsidRPr="00D11197" w:rsidRDefault="00D11197" w:rsidP="00D11197">
            <w:pPr>
              <w:pStyle w:val="Tablebullet"/>
            </w:pPr>
            <w:r w:rsidRPr="00675794">
              <w:t xml:space="preserve">Management gives financial statements and supporting working papers listed in </w:t>
            </w:r>
            <w:r w:rsidRPr="00D11197">
              <w:t>the Engagement Information Request to the audit team</w:t>
            </w:r>
          </w:p>
        </w:tc>
        <w:tc>
          <w:tcPr>
            <w:tcW w:w="1935" w:type="dxa"/>
          </w:tcPr>
          <w:p w14:paraId="3D4D8B68" w14:textId="77777777" w:rsidR="00D11197" w:rsidRPr="00675794" w:rsidRDefault="00D11197" w:rsidP="00D11197">
            <w:pPr>
              <w:pStyle w:val="Tabletext"/>
            </w:pPr>
          </w:p>
        </w:tc>
      </w:tr>
      <w:tr w:rsidR="00D11197" w:rsidRPr="00675794" w14:paraId="2D904D4C" w14:textId="77777777" w:rsidTr="00C60F3E">
        <w:tc>
          <w:tcPr>
            <w:tcW w:w="7135" w:type="dxa"/>
          </w:tcPr>
          <w:p w14:paraId="4299A543" w14:textId="77777777" w:rsidR="00D11197" w:rsidRPr="00D11197" w:rsidRDefault="00D11197" w:rsidP="00D11197">
            <w:pPr>
              <w:pStyle w:val="Tablebullet"/>
            </w:pPr>
            <w:r w:rsidRPr="00675794">
              <w:t xml:space="preserve">Audit team starts audit of </w:t>
            </w:r>
            <w:r w:rsidRPr="00D11197">
              <w:t>financial statements</w:t>
            </w:r>
          </w:p>
        </w:tc>
        <w:tc>
          <w:tcPr>
            <w:tcW w:w="1935" w:type="dxa"/>
          </w:tcPr>
          <w:p w14:paraId="1B65DB07" w14:textId="77777777" w:rsidR="00D11197" w:rsidRPr="00675794" w:rsidRDefault="00D11197" w:rsidP="00D11197">
            <w:pPr>
              <w:pStyle w:val="Tabletext"/>
            </w:pPr>
          </w:p>
        </w:tc>
      </w:tr>
      <w:tr w:rsidR="00D11197" w:rsidRPr="00675794" w14:paraId="08FE7A0A" w14:textId="77777777" w:rsidTr="00C60F3E">
        <w:tc>
          <w:tcPr>
            <w:tcW w:w="7135" w:type="dxa"/>
          </w:tcPr>
          <w:p w14:paraId="13F22777" w14:textId="77777777" w:rsidR="00D11197" w:rsidRPr="00D11197" w:rsidRDefault="00D11197" w:rsidP="00D11197">
            <w:pPr>
              <w:pStyle w:val="Tablebullet"/>
            </w:pPr>
            <w:r w:rsidRPr="00675794">
              <w:t>Audit clearance meeting</w:t>
            </w:r>
          </w:p>
        </w:tc>
        <w:tc>
          <w:tcPr>
            <w:tcW w:w="1935" w:type="dxa"/>
          </w:tcPr>
          <w:p w14:paraId="4BE0C550" w14:textId="77777777" w:rsidR="00D11197" w:rsidRPr="00675794" w:rsidRDefault="00D11197" w:rsidP="00D11197">
            <w:pPr>
              <w:pStyle w:val="Tabletext"/>
            </w:pPr>
          </w:p>
        </w:tc>
      </w:tr>
      <w:tr w:rsidR="00D11197" w:rsidRPr="00675794" w14:paraId="59DA8C2E" w14:textId="77777777" w:rsidTr="00C60F3E">
        <w:tc>
          <w:tcPr>
            <w:tcW w:w="7135" w:type="dxa"/>
          </w:tcPr>
          <w:p w14:paraId="259C7B4B" w14:textId="77777777" w:rsidR="00D11197" w:rsidRPr="00D11197" w:rsidRDefault="00D11197" w:rsidP="00D11197">
            <w:pPr>
              <w:pStyle w:val="Tablebullet"/>
            </w:pPr>
            <w:r w:rsidRPr="00675794">
              <w:t xml:space="preserve">Audit Office issues </w:t>
            </w:r>
            <w:r w:rsidRPr="00D11197">
              <w:t>Engagement Closing Report</w:t>
            </w:r>
          </w:p>
        </w:tc>
        <w:tc>
          <w:tcPr>
            <w:tcW w:w="1935" w:type="dxa"/>
          </w:tcPr>
          <w:p w14:paraId="7F32C5C8" w14:textId="77777777" w:rsidR="00D11197" w:rsidRPr="00675794" w:rsidRDefault="00D11197" w:rsidP="00D11197">
            <w:pPr>
              <w:pStyle w:val="Tabletext"/>
            </w:pPr>
          </w:p>
        </w:tc>
      </w:tr>
      <w:tr w:rsidR="00D11197" w:rsidRPr="00675794" w14:paraId="064456F8" w14:textId="77777777" w:rsidTr="00C60F3E">
        <w:tc>
          <w:tcPr>
            <w:tcW w:w="7135" w:type="dxa"/>
          </w:tcPr>
          <w:p w14:paraId="3040AABC" w14:textId="77777777" w:rsidR="00D11197" w:rsidRPr="00D11197" w:rsidRDefault="00D11197" w:rsidP="00D11197">
            <w:pPr>
              <w:pStyle w:val="Tablebullet"/>
            </w:pPr>
            <w:r w:rsidRPr="00675794">
              <w:t xml:space="preserve">Audit </w:t>
            </w:r>
            <w:r w:rsidRPr="00D11197">
              <w:t>team attends Audit and Risk Committee meeting to present the Engagement Closing Report**</w:t>
            </w:r>
          </w:p>
        </w:tc>
        <w:tc>
          <w:tcPr>
            <w:tcW w:w="1935" w:type="dxa"/>
          </w:tcPr>
          <w:p w14:paraId="3BE2C8F6" w14:textId="77777777" w:rsidR="00D11197" w:rsidRPr="00675794" w:rsidRDefault="00D11197">
            <w:pPr>
              <w:pStyle w:val="Tabletext"/>
            </w:pPr>
          </w:p>
        </w:tc>
      </w:tr>
      <w:tr w:rsidR="00D11197" w:rsidRPr="00675794" w14:paraId="69C90954" w14:textId="77777777" w:rsidTr="00C60F3E">
        <w:tc>
          <w:tcPr>
            <w:tcW w:w="7135" w:type="dxa"/>
          </w:tcPr>
          <w:p w14:paraId="06C91428" w14:textId="085334DB" w:rsidR="00D11197" w:rsidRPr="00D11197" w:rsidRDefault="00D11197" w:rsidP="00D11197">
            <w:pPr>
              <w:pStyle w:val="Tablebullet"/>
            </w:pPr>
            <w:r w:rsidRPr="00675794">
              <w:t>[</w:t>
            </w:r>
            <w:r w:rsidRPr="00D11197">
              <w:rPr>
                <w:rStyle w:val="Italic"/>
              </w:rPr>
              <w:t>Abbreviated</w:t>
            </w:r>
            <w:r w:rsidRPr="00D11197">
              <w:t xml:space="preserve"> </w:t>
            </w:r>
            <w:r w:rsidRPr="00D11197">
              <w:rPr>
                <w:rStyle w:val="Italic"/>
              </w:rPr>
              <w:t>name</w:t>
            </w:r>
            <w:r w:rsidRPr="00D11197">
              <w:t>] seeks the Audito</w:t>
            </w:r>
            <w:r w:rsidR="00F1700D">
              <w:t>r</w:t>
            </w:r>
            <w:r w:rsidR="00F95062">
              <w:noBreakHyphen/>
            </w:r>
            <w:r w:rsidR="00F1700D">
              <w:t>G</w:t>
            </w:r>
            <w:r w:rsidRPr="00D11197">
              <w:t xml:space="preserve">eneral’s approval for changes to the financial statements. Refer to the standard </w:t>
            </w:r>
            <w:hyperlink r:id="rId25" w:history="1">
              <w:r w:rsidRPr="00D11197">
                <w:rPr>
                  <w:rStyle w:val="Hyperlink"/>
                </w:rPr>
                <w:t>Terms of Engagement</w:t>
              </w:r>
            </w:hyperlink>
            <w:r w:rsidRPr="00D11197">
              <w:t xml:space="preserve"> for details</w:t>
            </w:r>
          </w:p>
        </w:tc>
        <w:tc>
          <w:tcPr>
            <w:tcW w:w="1935" w:type="dxa"/>
          </w:tcPr>
          <w:p w14:paraId="6B16EE83" w14:textId="77777777" w:rsidR="00D11197" w:rsidRPr="00675794" w:rsidRDefault="00D11197">
            <w:pPr>
              <w:pStyle w:val="Tabletext"/>
            </w:pPr>
          </w:p>
        </w:tc>
      </w:tr>
      <w:tr w:rsidR="00D11197" w:rsidRPr="00675794" w14:paraId="0206A737" w14:textId="77777777" w:rsidTr="00C60F3E">
        <w:tc>
          <w:tcPr>
            <w:tcW w:w="7135" w:type="dxa"/>
          </w:tcPr>
          <w:p w14:paraId="6077D187" w14:textId="77777777" w:rsidR="00D11197" w:rsidRPr="00D11197" w:rsidRDefault="00D11197" w:rsidP="00D11197">
            <w:pPr>
              <w:pStyle w:val="Tablebullet"/>
            </w:pPr>
            <w:r w:rsidRPr="00675794">
              <w:t>Management gives the audit team final</w:t>
            </w:r>
            <w:r w:rsidRPr="00D11197">
              <w:rPr>
                <w:rStyle w:val="FootnoteReference"/>
              </w:rPr>
              <w:footnoteReference w:id="1"/>
            </w:r>
            <w:r w:rsidRPr="00D11197">
              <w:t xml:space="preserve"> versions of draft Annual Report to review for consistency with the financial statements</w:t>
            </w:r>
          </w:p>
        </w:tc>
        <w:tc>
          <w:tcPr>
            <w:tcW w:w="1935" w:type="dxa"/>
          </w:tcPr>
          <w:p w14:paraId="6FAE051A" w14:textId="77777777" w:rsidR="00D11197" w:rsidRPr="00675794" w:rsidRDefault="00D11197">
            <w:pPr>
              <w:pStyle w:val="Tabletext"/>
            </w:pPr>
          </w:p>
        </w:tc>
      </w:tr>
      <w:tr w:rsidR="00D11197" w:rsidRPr="00675794" w14:paraId="38B073F8" w14:textId="77777777" w:rsidTr="00C60F3E">
        <w:tc>
          <w:tcPr>
            <w:tcW w:w="7135" w:type="dxa"/>
          </w:tcPr>
          <w:p w14:paraId="5449AAB1" w14:textId="77777777" w:rsidR="00D11197" w:rsidRPr="00D11197" w:rsidRDefault="00D11197" w:rsidP="00D11197">
            <w:pPr>
              <w:pStyle w:val="Tablebullet"/>
            </w:pPr>
            <w:r w:rsidRPr="00675794">
              <w:t>Audit Office issues Auditor’s Independence Declaration****</w:t>
            </w:r>
          </w:p>
        </w:tc>
        <w:tc>
          <w:tcPr>
            <w:tcW w:w="1935" w:type="dxa"/>
          </w:tcPr>
          <w:p w14:paraId="29262D9C" w14:textId="77777777" w:rsidR="00D11197" w:rsidRPr="00675794" w:rsidRDefault="00D11197">
            <w:pPr>
              <w:pStyle w:val="Tabletext"/>
            </w:pPr>
          </w:p>
        </w:tc>
      </w:tr>
      <w:tr w:rsidR="00D11197" w:rsidRPr="00675794" w14:paraId="07344361" w14:textId="77777777" w:rsidTr="00C60F3E">
        <w:tc>
          <w:tcPr>
            <w:tcW w:w="7135" w:type="dxa"/>
          </w:tcPr>
          <w:p w14:paraId="645DB0B5" w14:textId="6C25DFC8" w:rsidR="00D11197" w:rsidRPr="00D11197" w:rsidRDefault="00D11197" w:rsidP="00D11197">
            <w:pPr>
              <w:pStyle w:val="Tablebullet"/>
            </w:pPr>
            <w:r w:rsidRPr="00675794">
              <w:t>[</w:t>
            </w:r>
            <w:r w:rsidRPr="00D11197">
              <w:rPr>
                <w:rStyle w:val="Italic"/>
              </w:rPr>
              <w:t>Abbreviated</w:t>
            </w:r>
            <w:r w:rsidRPr="00D11197">
              <w:t xml:space="preserve"> </w:t>
            </w:r>
            <w:r w:rsidRPr="00D11197">
              <w:rPr>
                <w:rStyle w:val="Italic"/>
              </w:rPr>
              <w:t>name</w:t>
            </w:r>
            <w:r w:rsidRPr="00D11197">
              <w:t>] signs and gives Management Representation Letter [and Those Charged with Governance Representation Letter]</w:t>
            </w:r>
            <w:r w:rsidRPr="00D11197">
              <w:rPr>
                <w:rStyle w:val="FootnoteReference"/>
              </w:rPr>
              <w:footnoteReference w:id="2"/>
            </w:r>
            <w:r w:rsidRPr="00D11197">
              <w:t xml:space="preserve"> to audit team (sample on the Audit Office website:</w:t>
            </w:r>
          </w:p>
          <w:p w14:paraId="7950F1C2" w14:textId="0406F0D9" w:rsidR="00D11197" w:rsidRPr="00D11197" w:rsidRDefault="00B6415A" w:rsidP="005920BA">
            <w:pPr>
              <w:pStyle w:val="Tablebullet"/>
              <w:numPr>
                <w:ilvl w:val="0"/>
                <w:numId w:val="0"/>
              </w:numPr>
              <w:ind w:left="357"/>
            </w:pPr>
            <w:hyperlink r:id="rId26" w:history="1">
              <w:r w:rsidR="00D11197" w:rsidRPr="00D11197">
                <w:rPr>
                  <w:rStyle w:val="Hyperlink"/>
                </w:rPr>
                <w:t>https://www.audit.nsw.gov.au/our</w:t>
              </w:r>
              <w:r w:rsidR="00F95062">
                <w:rPr>
                  <w:rStyle w:val="Hyperlink"/>
                </w:rPr>
                <w:noBreakHyphen/>
              </w:r>
              <w:r w:rsidR="00D11197" w:rsidRPr="00D11197">
                <w:rPr>
                  <w:rStyle w:val="Hyperlink"/>
                </w:rPr>
                <w:t>stakeholders/universities</w:t>
              </w:r>
            </w:hyperlink>
            <w:r w:rsidR="00D11197" w:rsidRPr="00D11197">
              <w:t>)</w:t>
            </w:r>
          </w:p>
        </w:tc>
        <w:tc>
          <w:tcPr>
            <w:tcW w:w="1935" w:type="dxa"/>
          </w:tcPr>
          <w:p w14:paraId="31578FCC" w14:textId="77777777" w:rsidR="00D11197" w:rsidRPr="00675794" w:rsidRDefault="00D11197">
            <w:pPr>
              <w:pStyle w:val="Tabletext"/>
            </w:pPr>
          </w:p>
        </w:tc>
      </w:tr>
      <w:tr w:rsidR="00D11197" w:rsidRPr="00675794" w14:paraId="4CF6A3CD" w14:textId="77777777" w:rsidTr="00C60F3E">
        <w:tc>
          <w:tcPr>
            <w:tcW w:w="7135" w:type="dxa"/>
          </w:tcPr>
          <w:p w14:paraId="7B09918A" w14:textId="19526B9B" w:rsidR="00D11197" w:rsidRPr="00D11197" w:rsidRDefault="00D11197" w:rsidP="00D11197">
            <w:pPr>
              <w:pStyle w:val="Tablebullet"/>
            </w:pPr>
            <w:r w:rsidRPr="00675794">
              <w:t>Directors of [</w:t>
            </w:r>
            <w:r w:rsidRPr="00D11197">
              <w:t>a</w:t>
            </w:r>
            <w:r w:rsidRPr="00D11197">
              <w:rPr>
                <w:rStyle w:val="Italic"/>
              </w:rPr>
              <w:t>bbreviated</w:t>
            </w:r>
            <w:r w:rsidRPr="00D11197">
              <w:t xml:space="preserve"> </w:t>
            </w:r>
            <w:r w:rsidRPr="00D11197">
              <w:rPr>
                <w:rStyle w:val="Italic"/>
              </w:rPr>
              <w:t>name</w:t>
            </w:r>
            <w:r w:rsidRPr="00D11197">
              <w:t xml:space="preserve">] pass resolution required under section 298(2) or 306(3) of </w:t>
            </w:r>
            <w:r w:rsidR="00F95062" w:rsidRPr="00F95062">
              <w:rPr>
                <w:rStyle w:val="Italic"/>
              </w:rPr>
              <w:t>Corporations Act 2001</w:t>
            </w:r>
            <w:r w:rsidRPr="00D11197">
              <w:t xml:space="preserve"> (as relevant) relating to Directors’ Report****</w:t>
            </w:r>
          </w:p>
        </w:tc>
        <w:tc>
          <w:tcPr>
            <w:tcW w:w="1935" w:type="dxa"/>
          </w:tcPr>
          <w:p w14:paraId="392148E7" w14:textId="77777777" w:rsidR="00D11197" w:rsidRPr="00675794" w:rsidRDefault="00D11197">
            <w:pPr>
              <w:pStyle w:val="Tabletext"/>
            </w:pPr>
          </w:p>
        </w:tc>
      </w:tr>
      <w:tr w:rsidR="00D11197" w:rsidRPr="00675794" w14:paraId="7ACCD556" w14:textId="77777777" w:rsidTr="00C60F3E">
        <w:tc>
          <w:tcPr>
            <w:tcW w:w="7135" w:type="dxa"/>
          </w:tcPr>
          <w:p w14:paraId="2CF6E02B" w14:textId="77777777" w:rsidR="00D11197" w:rsidRPr="00D11197" w:rsidRDefault="00D11197" w:rsidP="00D11197">
            <w:pPr>
              <w:pStyle w:val="Tablebullet"/>
            </w:pPr>
            <w:r w:rsidRPr="00675794">
              <w:t>[</w:t>
            </w:r>
            <w:r w:rsidRPr="00D11197">
              <w:rPr>
                <w:rStyle w:val="Italic"/>
              </w:rPr>
              <w:t>Abbreviated</w:t>
            </w:r>
            <w:r w:rsidRPr="00D11197">
              <w:t xml:space="preserve"> </w:t>
            </w:r>
            <w:r w:rsidRPr="00D11197">
              <w:rPr>
                <w:rStyle w:val="Italic"/>
              </w:rPr>
              <w:t>n</w:t>
            </w:r>
            <w:r w:rsidRPr="00D11197">
              <w:t>ame] approves financial statements and [Chief Executive/ Department/Board/Council] signs statement</w:t>
            </w:r>
          </w:p>
        </w:tc>
        <w:tc>
          <w:tcPr>
            <w:tcW w:w="1935" w:type="dxa"/>
          </w:tcPr>
          <w:p w14:paraId="16028C4B" w14:textId="77777777" w:rsidR="00D11197" w:rsidRPr="00675794" w:rsidRDefault="00D11197">
            <w:pPr>
              <w:pStyle w:val="Tabletext"/>
            </w:pPr>
          </w:p>
        </w:tc>
      </w:tr>
      <w:tr w:rsidR="00D11197" w:rsidRPr="00675794" w14:paraId="1FE3AA68" w14:textId="77777777" w:rsidTr="00C60F3E">
        <w:tc>
          <w:tcPr>
            <w:tcW w:w="7135" w:type="dxa"/>
          </w:tcPr>
          <w:p w14:paraId="1F213802" w14:textId="77777777" w:rsidR="00D11197" w:rsidRPr="00D11197" w:rsidRDefault="00D11197" w:rsidP="00D11197">
            <w:pPr>
              <w:pStyle w:val="Tablebullet"/>
            </w:pPr>
            <w:r w:rsidRPr="00675794">
              <w:t>Audit Office issues Independent Auditor’s Report, Statutory Audit Report and other letters to those charged with governance</w:t>
            </w:r>
          </w:p>
        </w:tc>
        <w:tc>
          <w:tcPr>
            <w:tcW w:w="1935" w:type="dxa"/>
          </w:tcPr>
          <w:p w14:paraId="586E70A1" w14:textId="77777777" w:rsidR="00D11197" w:rsidRPr="00675794" w:rsidRDefault="00D11197">
            <w:pPr>
              <w:pStyle w:val="Tabletext"/>
            </w:pPr>
          </w:p>
        </w:tc>
      </w:tr>
      <w:tr w:rsidR="00D11197" w:rsidRPr="00675794" w14:paraId="29397F98" w14:textId="77777777" w:rsidTr="00C60F3E">
        <w:tc>
          <w:tcPr>
            <w:tcW w:w="7135" w:type="dxa"/>
          </w:tcPr>
          <w:p w14:paraId="7C0D0A0E" w14:textId="77777777" w:rsidR="00D11197" w:rsidRPr="00D11197" w:rsidRDefault="00D11197" w:rsidP="00D11197">
            <w:pPr>
              <w:pStyle w:val="Tablebullet"/>
            </w:pPr>
            <w:r w:rsidRPr="00675794">
              <w:t>Audit Office issues final Management Letter</w:t>
            </w:r>
          </w:p>
        </w:tc>
        <w:tc>
          <w:tcPr>
            <w:tcW w:w="1935" w:type="dxa"/>
          </w:tcPr>
          <w:p w14:paraId="1B47B6B8" w14:textId="77777777" w:rsidR="00D11197" w:rsidRPr="00675794" w:rsidRDefault="00D11197">
            <w:pPr>
              <w:pStyle w:val="Tabletext"/>
            </w:pPr>
          </w:p>
        </w:tc>
      </w:tr>
    </w:tbl>
    <w:p w14:paraId="1DE0C064" w14:textId="77777777" w:rsidR="00D11197" w:rsidRPr="00675794" w:rsidRDefault="00D11197" w:rsidP="00D11197">
      <w:pPr>
        <w:pStyle w:val="SingleLineText-Half"/>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D11197" w:rsidRPr="00675794" w14:paraId="32C44B03" w14:textId="77777777" w:rsidTr="00C60F3E">
        <w:trPr>
          <w:trHeight w:val="321"/>
        </w:trPr>
        <w:tc>
          <w:tcPr>
            <w:tcW w:w="5000" w:type="pct"/>
            <w:shd w:val="clear" w:color="auto" w:fill="D9D9D9" w:themeFill="background1" w:themeFillShade="D9"/>
          </w:tcPr>
          <w:p w14:paraId="52416B75" w14:textId="77777777" w:rsidR="00D11197" w:rsidRPr="00D11197" w:rsidRDefault="00D11197" w:rsidP="00D11197">
            <w:pPr>
              <w:pStyle w:val="Tabletext"/>
              <w:rPr>
                <w:rStyle w:val="Bold"/>
              </w:rPr>
            </w:pPr>
            <w:r w:rsidRPr="00675794">
              <w:rPr>
                <w:rStyle w:val="Bold"/>
              </w:rPr>
              <w:t>*</w:t>
            </w:r>
            <w:r w:rsidRPr="00D11197">
              <w:rPr>
                <w:rStyle w:val="Bold"/>
              </w:rPr>
              <w:t xml:space="preserve"> Not applicable if Engagement Information Request delivery dates have been agreed with management and emailed with this AEP.</w:t>
            </w:r>
          </w:p>
        </w:tc>
      </w:tr>
    </w:tbl>
    <w:p w14:paraId="2F7E6DF5"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675794" w14:paraId="4C0BAC7A" w14:textId="77777777" w:rsidTr="00C60F3E">
        <w:tc>
          <w:tcPr>
            <w:tcW w:w="9072" w:type="dxa"/>
            <w:shd w:val="clear" w:color="auto" w:fill="D9D9D9" w:themeFill="background1" w:themeFillShade="D9"/>
          </w:tcPr>
          <w:p w14:paraId="204D2EDE" w14:textId="77777777" w:rsidR="00D11197" w:rsidRPr="00D11197" w:rsidRDefault="00D11197" w:rsidP="00D11197">
            <w:pPr>
              <w:pStyle w:val="Tabletext"/>
              <w:rPr>
                <w:rStyle w:val="Bold"/>
              </w:rPr>
            </w:pPr>
            <w:r w:rsidRPr="00675794">
              <w:rPr>
                <w:rStyle w:val="Bold"/>
              </w:rPr>
              <w:t>**</w:t>
            </w:r>
            <w:r w:rsidRPr="00D11197">
              <w:rPr>
                <w:rStyle w:val="Bold"/>
              </w:rPr>
              <w:t xml:space="preserve"> ECs should include Audit and Risk Committee meetings they plan to attend if the auditee has set the meeting schedule for the year.</w:t>
            </w:r>
          </w:p>
        </w:tc>
      </w:tr>
      <w:tr w:rsidR="00D11197" w:rsidRPr="00675794" w14:paraId="2E41BDD7" w14:textId="77777777" w:rsidTr="00C60F3E">
        <w:tc>
          <w:tcPr>
            <w:tcW w:w="9072" w:type="dxa"/>
            <w:shd w:val="clear" w:color="auto" w:fill="DBE5F1"/>
          </w:tcPr>
          <w:p w14:paraId="76E49624" w14:textId="77777777" w:rsidR="00D11197" w:rsidRPr="00D11197" w:rsidRDefault="00D11197" w:rsidP="00D11197">
            <w:pPr>
              <w:pStyle w:val="Tabletext"/>
              <w:rPr>
                <w:rStyle w:val="Bold"/>
              </w:rPr>
            </w:pPr>
            <w:r w:rsidRPr="00A971DD">
              <w:rPr>
                <w:rStyle w:val="Bold"/>
              </w:rPr>
              <w:t>Additional instructions for ASPs:</w:t>
            </w:r>
          </w:p>
          <w:p w14:paraId="3A60CA68" w14:textId="77777777" w:rsidR="00D11197" w:rsidRPr="00D11197" w:rsidRDefault="00D11197" w:rsidP="00D11197">
            <w:pPr>
              <w:pStyle w:val="Tabletext"/>
              <w:rPr>
                <w:rStyle w:val="Bold"/>
              </w:rPr>
            </w:pPr>
            <w:r w:rsidRPr="00A971DD">
              <w:rPr>
                <w:rStyle w:val="Bold"/>
              </w:rPr>
              <w:t>**</w:t>
            </w:r>
            <w:r w:rsidRPr="00D11197">
              <w:rPr>
                <w:rStyle w:val="Bold"/>
              </w:rPr>
              <w:t xml:space="preserve"> ASPs should agree with the EC which Audit and Risk Committee meetings the Audit Office and ASP plan to attend if the auditee has set the meeting schedule for the year.</w:t>
            </w:r>
          </w:p>
        </w:tc>
      </w:tr>
    </w:tbl>
    <w:p w14:paraId="2B1CB494" w14:textId="77777777" w:rsidR="00D11197" w:rsidRPr="00675794" w:rsidRDefault="00D11197" w:rsidP="00D11197">
      <w:pPr>
        <w:pStyle w:val="SingleLineText-Half"/>
      </w:pPr>
    </w:p>
    <w:tbl>
      <w:tblPr>
        <w:tblStyle w:val="TableGrid"/>
        <w:tblW w:w="9070" w:type="dxa"/>
        <w:shd w:val="clear" w:color="auto" w:fill="D9D9D9" w:themeFill="background1" w:themeFillShade="D9"/>
        <w:tblLook w:val="04A0" w:firstRow="1" w:lastRow="0" w:firstColumn="1" w:lastColumn="0" w:noHBand="0" w:noVBand="1"/>
      </w:tblPr>
      <w:tblGrid>
        <w:gridCol w:w="9070"/>
      </w:tblGrid>
      <w:tr w:rsidR="00D11197" w:rsidRPr="00675794" w14:paraId="7C94D62C" w14:textId="77777777" w:rsidTr="00C60F3E">
        <w:tc>
          <w:tcPr>
            <w:tcW w:w="9072" w:type="dxa"/>
            <w:shd w:val="clear" w:color="auto" w:fill="D9D9D9" w:themeFill="background1" w:themeFillShade="D9"/>
          </w:tcPr>
          <w:p w14:paraId="07485295" w14:textId="6095F917" w:rsidR="00D11197" w:rsidRPr="00D11197" w:rsidRDefault="00D11197" w:rsidP="00D11197">
            <w:pPr>
              <w:pStyle w:val="Tabletext"/>
              <w:rPr>
                <w:rStyle w:val="Bold"/>
              </w:rPr>
            </w:pPr>
            <w:r w:rsidRPr="00675794">
              <w:rPr>
                <w:rStyle w:val="Bold"/>
              </w:rPr>
              <w:t>***</w:t>
            </w:r>
            <w:r w:rsidRPr="00D11197">
              <w:rPr>
                <w:rStyle w:val="Bold"/>
              </w:rPr>
              <w:t xml:space="preserve"> Audit teams should try to issue early close letters within one month (but no later than six weeks) of receiving the early close materials so management can respond to issues raised in its year</w:t>
            </w:r>
            <w:r w:rsidR="00F95062">
              <w:rPr>
                <w:rStyle w:val="Bold"/>
              </w:rPr>
              <w:noBreakHyphen/>
            </w:r>
            <w:r w:rsidRPr="00D11197">
              <w:rPr>
                <w:rStyle w:val="Bold"/>
              </w:rPr>
              <w:t>end reporting process.</w:t>
            </w:r>
          </w:p>
        </w:tc>
      </w:tr>
    </w:tbl>
    <w:p w14:paraId="74E95117" w14:textId="77777777" w:rsidR="00D11197" w:rsidRPr="00675794" w:rsidRDefault="00D11197" w:rsidP="00D11197">
      <w:pPr>
        <w:pStyle w:val="SingleLineText-Half"/>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9070"/>
      </w:tblGrid>
      <w:tr w:rsidR="00D11197" w:rsidRPr="00675794" w14:paraId="6B63178C" w14:textId="77777777" w:rsidTr="00C60F3E">
        <w:tc>
          <w:tcPr>
            <w:tcW w:w="5000" w:type="pct"/>
            <w:shd w:val="clear" w:color="auto" w:fill="D9D9D9" w:themeFill="background1" w:themeFillShade="D9"/>
          </w:tcPr>
          <w:p w14:paraId="35D8C9FB" w14:textId="39860A1A" w:rsidR="00D11197" w:rsidRPr="00D11197" w:rsidRDefault="00D11197" w:rsidP="00D11197">
            <w:pPr>
              <w:pStyle w:val="Tabletext"/>
              <w:rPr>
                <w:rStyle w:val="Bold"/>
              </w:rPr>
            </w:pPr>
            <w:r w:rsidRPr="00675794">
              <w:rPr>
                <w:rStyle w:val="Bold"/>
              </w:rPr>
              <w:t>****</w:t>
            </w:r>
            <w:r w:rsidRPr="00D11197">
              <w:rPr>
                <w:rStyle w:val="Bold"/>
              </w:rPr>
              <w:t xml:space="preserve"> Only applies to </w:t>
            </w:r>
            <w:r w:rsidR="00F95062" w:rsidRPr="00F95062">
              <w:rPr>
                <w:rStyle w:val="BoldItalic"/>
              </w:rPr>
              <w:t>Corporations Act 2001</w:t>
            </w:r>
            <w:r w:rsidRPr="00D11197">
              <w:rPr>
                <w:rStyle w:val="Bold"/>
              </w:rPr>
              <w:t xml:space="preserve"> engagements, APRA regulated entities or entities registered with the Australian Charities and Not</w:t>
            </w:r>
            <w:r w:rsidR="00F95062">
              <w:rPr>
                <w:rStyle w:val="Bold"/>
              </w:rPr>
              <w:noBreakHyphen/>
            </w:r>
            <w:r w:rsidRPr="00D11197">
              <w:rPr>
                <w:rStyle w:val="Bold"/>
              </w:rPr>
              <w:t>for</w:t>
            </w:r>
            <w:r w:rsidR="00F95062">
              <w:rPr>
                <w:rStyle w:val="Bold"/>
              </w:rPr>
              <w:noBreakHyphen/>
            </w:r>
            <w:r w:rsidRPr="00D11197">
              <w:rPr>
                <w:rStyle w:val="Bold"/>
              </w:rPr>
              <w:t>profits Commission (ACNC). Amend wording where relevant.</w:t>
            </w:r>
          </w:p>
          <w:p w14:paraId="58C967F1" w14:textId="7F5B3F64" w:rsidR="00D11197" w:rsidRPr="00D11197" w:rsidRDefault="00D11197" w:rsidP="00D11197">
            <w:pPr>
              <w:pStyle w:val="Tabletext"/>
              <w:rPr>
                <w:rStyle w:val="Bold"/>
              </w:rPr>
            </w:pPr>
            <w:r w:rsidRPr="00675794">
              <w:rPr>
                <w:rStyle w:val="Bold"/>
              </w:rPr>
              <w:t xml:space="preserve">Target dates for engagements subject to the </w:t>
            </w:r>
            <w:r w:rsidR="00F95062" w:rsidRPr="00F95062">
              <w:rPr>
                <w:rStyle w:val="BoldItalic"/>
              </w:rPr>
              <w:t>Corporations Act 2001</w:t>
            </w:r>
            <w:r w:rsidRPr="00D11197">
              <w:rPr>
                <w:rStyle w:val="Bold"/>
              </w:rPr>
              <w:t xml:space="preserve"> needs to comply with section 307C (5A) of the </w:t>
            </w:r>
            <w:r w:rsidR="00F95062" w:rsidRPr="00F95062">
              <w:rPr>
                <w:rStyle w:val="Bold"/>
                <w:i/>
              </w:rPr>
              <w:t>Corporations Act 2001</w:t>
            </w:r>
            <w:r w:rsidRPr="00D11197">
              <w:rPr>
                <w:rStyle w:val="Bold"/>
              </w:rPr>
              <w:t xml:space="preserve"> and adhere to the following conditions:</w:t>
            </w:r>
          </w:p>
          <w:p w14:paraId="41A56683" w14:textId="77777777" w:rsidR="00D11197" w:rsidRPr="00D11197" w:rsidRDefault="00D11197" w:rsidP="00D11197">
            <w:pPr>
              <w:pStyle w:val="Tablenumbered"/>
              <w:rPr>
                <w:rStyle w:val="Bold"/>
              </w:rPr>
            </w:pPr>
            <w:r w:rsidRPr="00BC25FF">
              <w:rPr>
                <w:rStyle w:val="Bold"/>
              </w:rPr>
              <w:t xml:space="preserve">the Auditor’s Independence Declaration </w:t>
            </w:r>
            <w:r w:rsidRPr="00D11197">
              <w:rPr>
                <w:rStyle w:val="Bold"/>
              </w:rPr>
              <w:t>needs to be issued to the Company before the Directors pass the resolution on the Directors’ Report</w:t>
            </w:r>
          </w:p>
          <w:p w14:paraId="015A80E4" w14:textId="77777777" w:rsidR="00D11197" w:rsidRPr="00D11197" w:rsidRDefault="00D11197" w:rsidP="00D11197">
            <w:pPr>
              <w:pStyle w:val="Tablenumbered"/>
              <w:rPr>
                <w:rStyle w:val="Bold"/>
              </w:rPr>
            </w:pPr>
            <w:r w:rsidRPr="00BC25FF">
              <w:rPr>
                <w:rStyle w:val="Bold"/>
              </w:rPr>
              <w:t xml:space="preserve">the Directors’ Report </w:t>
            </w:r>
            <w:r w:rsidRPr="00D11197">
              <w:rPr>
                <w:rStyle w:val="Bold"/>
              </w:rPr>
              <w:t>needs to be signed no later than seven days after the Auditor’s Independence Declaration</w:t>
            </w:r>
          </w:p>
          <w:p w14:paraId="080F6161" w14:textId="77777777" w:rsidR="00D11197" w:rsidRPr="00D11197" w:rsidRDefault="00D11197" w:rsidP="00D11197">
            <w:pPr>
              <w:pStyle w:val="Tablenumbered"/>
              <w:rPr>
                <w:rStyle w:val="Bold"/>
              </w:rPr>
            </w:pPr>
            <w:r w:rsidRPr="00BC25FF">
              <w:rPr>
                <w:rStyle w:val="Bold"/>
              </w:rPr>
              <w:t xml:space="preserve">the Independent Auditor’s Report </w:t>
            </w:r>
            <w:r w:rsidRPr="00D11197">
              <w:rPr>
                <w:rStyle w:val="Bold"/>
              </w:rPr>
              <w:t>needs to be issued no later than seven days after the Directors’ Report is signed.</w:t>
            </w:r>
          </w:p>
          <w:p w14:paraId="511782B5" w14:textId="77777777" w:rsidR="00D11197" w:rsidRPr="00675794" w:rsidRDefault="00D11197" w:rsidP="00D11197">
            <w:pPr>
              <w:pStyle w:val="SingleLineText-Half"/>
            </w:pPr>
          </w:p>
          <w:p w14:paraId="0DFE2F23" w14:textId="6A9BD56A" w:rsidR="00D11197" w:rsidRPr="00D11197" w:rsidRDefault="00D11197" w:rsidP="00D11197">
            <w:pPr>
              <w:pStyle w:val="Tabletext"/>
              <w:rPr>
                <w:rStyle w:val="Bold"/>
              </w:rPr>
            </w:pPr>
            <w:r w:rsidRPr="00675794">
              <w:rPr>
                <w:rStyle w:val="Bold"/>
              </w:rPr>
              <w:t xml:space="preserve">Note: Sections 298(2) and 306(3) of the </w:t>
            </w:r>
            <w:r w:rsidR="00F95062" w:rsidRPr="00F95062">
              <w:rPr>
                <w:rStyle w:val="BoldItalic"/>
              </w:rPr>
              <w:t>Corporations Act 2001</w:t>
            </w:r>
            <w:r w:rsidRPr="00D11197">
              <w:rPr>
                <w:rStyle w:val="Bold"/>
              </w:rPr>
              <w:t xml:space="preserve"> stipulate Directors’ Reports for the full and half year needs to be made in accordance with a resolution of Directors, specify the date the report is made and signed by a Director.</w:t>
            </w:r>
          </w:p>
        </w:tc>
      </w:tr>
    </w:tbl>
    <w:p w14:paraId="538B3AC9" w14:textId="77777777" w:rsidR="00D11197" w:rsidRPr="00675794" w:rsidRDefault="00D11197" w:rsidP="00D11197">
      <w:pPr>
        <w:pStyle w:val="SingleLineText-Half"/>
      </w:pPr>
      <w:bookmarkStart w:id="199" w:name="_Toc461177092"/>
    </w:p>
    <w:p w14:paraId="1F5B24A3" w14:textId="77777777" w:rsidR="00D11197" w:rsidRPr="00D11197" w:rsidRDefault="00D11197" w:rsidP="00D11197">
      <w:pPr>
        <w:pStyle w:val="Heading1-NumberedRED"/>
      </w:pPr>
      <w:bookmarkStart w:id="200" w:name="_Toc489278466"/>
      <w:bookmarkStart w:id="201" w:name="_Toc489278617"/>
      <w:bookmarkStart w:id="202" w:name="_Toc489278467"/>
      <w:bookmarkStart w:id="203" w:name="_Toc489278618"/>
      <w:bookmarkStart w:id="204" w:name="_Toc489278468"/>
      <w:bookmarkStart w:id="205" w:name="_Toc489278619"/>
      <w:bookmarkStart w:id="206" w:name="_Toc489278469"/>
      <w:bookmarkStart w:id="207" w:name="_Toc489278620"/>
      <w:bookmarkStart w:id="208" w:name="_Toc489278470"/>
      <w:bookmarkStart w:id="209" w:name="_Toc489278621"/>
      <w:bookmarkStart w:id="210" w:name="_Toc489278471"/>
      <w:bookmarkStart w:id="211" w:name="_Toc489278622"/>
      <w:bookmarkStart w:id="212" w:name="_Toc489278472"/>
      <w:bookmarkStart w:id="213" w:name="_Toc489278623"/>
      <w:bookmarkStart w:id="214" w:name="_Toc489278479"/>
      <w:bookmarkStart w:id="215" w:name="_Toc489278630"/>
      <w:bookmarkStart w:id="216" w:name="_Toc489278480"/>
      <w:bookmarkStart w:id="217" w:name="_Toc489278631"/>
      <w:bookmarkStart w:id="218" w:name="_Toc489278481"/>
      <w:bookmarkStart w:id="219" w:name="_Toc489278632"/>
      <w:bookmarkStart w:id="220" w:name="_Toc489278482"/>
      <w:bookmarkStart w:id="221" w:name="_Toc489278633"/>
      <w:bookmarkStart w:id="222" w:name="_Toc489278483"/>
      <w:bookmarkStart w:id="223" w:name="_Toc489278634"/>
      <w:bookmarkStart w:id="224" w:name="_Toc489278484"/>
      <w:bookmarkStart w:id="225" w:name="_Toc489278635"/>
      <w:bookmarkStart w:id="226" w:name="_Toc489278485"/>
      <w:bookmarkStart w:id="227" w:name="_Toc489278636"/>
      <w:bookmarkStart w:id="228" w:name="_Toc489278486"/>
      <w:bookmarkStart w:id="229" w:name="_Toc489278637"/>
      <w:bookmarkStart w:id="230" w:name="_Toc489278487"/>
      <w:bookmarkStart w:id="231" w:name="_Toc489278638"/>
      <w:bookmarkStart w:id="232" w:name="_Toc489278488"/>
      <w:bookmarkStart w:id="233" w:name="_Toc489278639"/>
      <w:bookmarkStart w:id="234" w:name="_Toc489278489"/>
      <w:bookmarkStart w:id="235" w:name="_Toc489278640"/>
      <w:bookmarkStart w:id="236" w:name="_Toc489278490"/>
      <w:bookmarkStart w:id="237" w:name="_Toc489278641"/>
      <w:bookmarkStart w:id="238" w:name="_Toc489278491"/>
      <w:bookmarkStart w:id="239" w:name="_Toc489278642"/>
      <w:bookmarkStart w:id="240" w:name="_Toc489278492"/>
      <w:bookmarkStart w:id="241" w:name="_Toc489278643"/>
      <w:bookmarkStart w:id="242" w:name="_Toc489278493"/>
      <w:bookmarkStart w:id="243" w:name="_Toc489278644"/>
      <w:bookmarkStart w:id="244" w:name="_Toc489278499"/>
      <w:bookmarkStart w:id="245" w:name="_Toc489278650"/>
      <w:bookmarkStart w:id="246" w:name="_Toc489278500"/>
      <w:bookmarkStart w:id="247" w:name="_Toc489278651"/>
      <w:bookmarkStart w:id="248" w:name="_Toc489278501"/>
      <w:bookmarkStart w:id="249" w:name="_Toc489278652"/>
      <w:bookmarkStart w:id="250" w:name="_Toc489278502"/>
      <w:bookmarkStart w:id="251" w:name="_Toc489278653"/>
      <w:bookmarkStart w:id="252" w:name="_Toc489278503"/>
      <w:bookmarkStart w:id="253" w:name="_Toc489278654"/>
      <w:bookmarkStart w:id="254" w:name="_Toc489278504"/>
      <w:bookmarkStart w:id="255" w:name="_Toc489278655"/>
      <w:bookmarkStart w:id="256" w:name="_Toc489278505"/>
      <w:bookmarkStart w:id="257" w:name="_Toc489278656"/>
      <w:bookmarkStart w:id="258" w:name="_Toc489278506"/>
      <w:bookmarkStart w:id="259" w:name="_Toc489278657"/>
      <w:bookmarkStart w:id="260" w:name="_Toc489278507"/>
      <w:bookmarkStart w:id="261" w:name="_Toc489278658"/>
      <w:bookmarkStart w:id="262" w:name="_Toc489278512"/>
      <w:bookmarkStart w:id="263" w:name="_Toc489278663"/>
      <w:bookmarkStart w:id="264" w:name="_Toc489278513"/>
      <w:bookmarkStart w:id="265" w:name="_Toc489278664"/>
      <w:bookmarkStart w:id="266" w:name="_Toc489278514"/>
      <w:bookmarkStart w:id="267" w:name="_Toc489278665"/>
      <w:bookmarkStart w:id="268" w:name="_Toc489278515"/>
      <w:bookmarkStart w:id="269" w:name="_Toc489278666"/>
      <w:bookmarkStart w:id="270" w:name="_Toc489278516"/>
      <w:bookmarkStart w:id="271" w:name="_Toc489278667"/>
      <w:bookmarkStart w:id="272" w:name="_Toc489278517"/>
      <w:bookmarkStart w:id="273" w:name="_Toc489278668"/>
      <w:bookmarkStart w:id="274" w:name="_Toc489278518"/>
      <w:bookmarkStart w:id="275" w:name="_Toc489278669"/>
      <w:bookmarkStart w:id="276" w:name="_Toc489278519"/>
      <w:bookmarkStart w:id="277" w:name="_Toc489278670"/>
      <w:bookmarkStart w:id="278" w:name="_Toc489278520"/>
      <w:bookmarkStart w:id="279" w:name="_Toc489278671"/>
      <w:bookmarkStart w:id="280" w:name="_Toc489278521"/>
      <w:bookmarkStart w:id="281" w:name="_Toc489278672"/>
      <w:bookmarkStart w:id="282" w:name="_Toc489278522"/>
      <w:bookmarkStart w:id="283" w:name="_Toc489278673"/>
      <w:bookmarkStart w:id="284" w:name="_Toc489278523"/>
      <w:bookmarkStart w:id="285" w:name="_Toc489278674"/>
      <w:bookmarkStart w:id="286" w:name="_Toc489278524"/>
      <w:bookmarkStart w:id="287" w:name="_Toc489278675"/>
      <w:bookmarkStart w:id="288" w:name="_Toc489278525"/>
      <w:bookmarkStart w:id="289" w:name="_Toc489278676"/>
      <w:bookmarkStart w:id="290" w:name="_Toc489278526"/>
      <w:bookmarkStart w:id="291" w:name="_Toc489278677"/>
      <w:bookmarkStart w:id="292" w:name="_Toc489278527"/>
      <w:bookmarkStart w:id="293" w:name="_Toc489278678"/>
      <w:bookmarkStart w:id="294" w:name="_Toc489278528"/>
      <w:bookmarkStart w:id="295" w:name="_Toc489278679"/>
      <w:bookmarkStart w:id="296" w:name="_Toc489278529"/>
      <w:bookmarkStart w:id="297" w:name="_Toc489278680"/>
      <w:bookmarkStart w:id="298" w:name="_Toc489278532"/>
      <w:bookmarkStart w:id="299" w:name="_Toc489278683"/>
      <w:bookmarkStart w:id="300" w:name="_Toc489278533"/>
      <w:bookmarkStart w:id="301" w:name="_Toc489278684"/>
      <w:bookmarkStart w:id="302" w:name="_Toc489278534"/>
      <w:bookmarkStart w:id="303" w:name="_Toc489278685"/>
      <w:bookmarkStart w:id="304" w:name="_Toc489278535"/>
      <w:bookmarkStart w:id="305" w:name="_Toc489278686"/>
      <w:bookmarkStart w:id="306" w:name="_Toc489278536"/>
      <w:bookmarkStart w:id="307" w:name="_Toc489278687"/>
      <w:bookmarkStart w:id="308" w:name="_Toc489278537"/>
      <w:bookmarkStart w:id="309" w:name="_Toc489278688"/>
      <w:bookmarkStart w:id="310" w:name="_Toc489278538"/>
      <w:bookmarkStart w:id="311" w:name="_Toc489278689"/>
      <w:bookmarkStart w:id="312" w:name="_Toc489278539"/>
      <w:bookmarkStart w:id="313" w:name="_Toc489278690"/>
      <w:bookmarkStart w:id="314" w:name="_Toc489278540"/>
      <w:bookmarkStart w:id="315" w:name="_Toc489278691"/>
      <w:bookmarkStart w:id="316" w:name="_Toc461177093"/>
      <w:bookmarkStart w:id="317" w:name="_Toc461177286"/>
      <w:bookmarkStart w:id="318" w:name="_Toc461177305"/>
      <w:bookmarkStart w:id="319" w:name="_Toc461179122"/>
      <w:bookmarkStart w:id="320" w:name="_Toc489278543"/>
      <w:bookmarkStart w:id="321" w:name="_Toc489278694"/>
      <w:bookmarkStart w:id="322" w:name="_Toc489278544"/>
      <w:bookmarkStart w:id="323" w:name="_Toc489278695"/>
      <w:bookmarkStart w:id="324" w:name="_Toc489278545"/>
      <w:bookmarkStart w:id="325" w:name="_Toc489278696"/>
      <w:bookmarkStart w:id="326" w:name="_Toc489278546"/>
      <w:bookmarkStart w:id="327" w:name="_Toc489278697"/>
      <w:bookmarkStart w:id="328" w:name="_Toc489278547"/>
      <w:bookmarkStart w:id="329" w:name="_Toc489278698"/>
      <w:bookmarkStart w:id="330" w:name="_Toc489278548"/>
      <w:bookmarkStart w:id="331" w:name="_Toc489278699"/>
      <w:bookmarkStart w:id="332" w:name="_Toc489278549"/>
      <w:bookmarkStart w:id="333" w:name="_Toc489278700"/>
      <w:bookmarkStart w:id="334" w:name="_Toc489278550"/>
      <w:bookmarkStart w:id="335" w:name="_Toc489278701"/>
      <w:bookmarkStart w:id="336" w:name="_Toc489278551"/>
      <w:bookmarkStart w:id="337" w:name="_Toc489278702"/>
      <w:bookmarkStart w:id="338" w:name="_Toc398647567"/>
      <w:bookmarkStart w:id="339" w:name="_Toc398651935"/>
      <w:bookmarkStart w:id="340" w:name="_Toc398652169"/>
      <w:bookmarkStart w:id="341" w:name="_Toc399170159"/>
      <w:bookmarkStart w:id="342" w:name="_Toc399224599"/>
      <w:bookmarkStart w:id="343" w:name="_Toc399224677"/>
      <w:bookmarkStart w:id="344" w:name="_Toc399224714"/>
      <w:bookmarkStart w:id="345" w:name="_Toc398647568"/>
      <w:bookmarkStart w:id="346" w:name="_Toc398651936"/>
      <w:bookmarkStart w:id="347" w:name="_Toc398652170"/>
      <w:bookmarkStart w:id="348" w:name="_Toc399170160"/>
      <w:bookmarkStart w:id="349" w:name="_Toc399224600"/>
      <w:bookmarkStart w:id="350" w:name="_Toc399224678"/>
      <w:bookmarkStart w:id="351" w:name="_Toc399224715"/>
      <w:bookmarkStart w:id="352" w:name="_Toc318200323"/>
      <w:bookmarkStart w:id="353" w:name="_Toc318206146"/>
      <w:bookmarkStart w:id="354" w:name="_Toc318206731"/>
      <w:bookmarkStart w:id="355" w:name="_Toc318206148"/>
      <w:bookmarkStart w:id="356" w:name="_Toc318206733"/>
      <w:bookmarkStart w:id="357" w:name="_Toc318206149"/>
      <w:bookmarkStart w:id="358" w:name="_Toc318206734"/>
      <w:bookmarkStart w:id="359" w:name="_Toc318206150"/>
      <w:bookmarkStart w:id="360" w:name="_Toc318206735"/>
      <w:bookmarkStart w:id="361" w:name="_Toc318206151"/>
      <w:bookmarkStart w:id="362" w:name="_Toc318206736"/>
      <w:bookmarkStart w:id="363" w:name="_Toc318206152"/>
      <w:bookmarkStart w:id="364" w:name="_Toc318206737"/>
      <w:bookmarkStart w:id="365" w:name="_Toc318206153"/>
      <w:bookmarkStart w:id="366" w:name="_Toc318206738"/>
      <w:bookmarkStart w:id="367" w:name="_Toc318206155"/>
      <w:bookmarkStart w:id="368" w:name="_Toc318206740"/>
      <w:bookmarkStart w:id="369" w:name="_Toc318206156"/>
      <w:bookmarkStart w:id="370" w:name="_Toc318206741"/>
      <w:bookmarkStart w:id="371" w:name="_Toc318206157"/>
      <w:bookmarkStart w:id="372" w:name="_Toc318206742"/>
      <w:bookmarkStart w:id="373" w:name="_Toc318206158"/>
      <w:bookmarkStart w:id="374" w:name="_Toc318206743"/>
      <w:bookmarkStart w:id="375" w:name="_Toc318206159"/>
      <w:bookmarkStart w:id="376" w:name="_Toc318206744"/>
      <w:bookmarkStart w:id="377" w:name="_Toc318206160"/>
      <w:bookmarkStart w:id="378" w:name="_Toc318206745"/>
      <w:bookmarkStart w:id="379" w:name="_Toc318206161"/>
      <w:bookmarkStart w:id="380" w:name="_Toc318206746"/>
      <w:bookmarkStart w:id="381" w:name="_Toc318206162"/>
      <w:bookmarkStart w:id="382" w:name="_Toc318206747"/>
      <w:bookmarkStart w:id="383" w:name="_Toc489278552"/>
      <w:bookmarkStart w:id="384" w:name="_Toc489278703"/>
      <w:bookmarkStart w:id="385" w:name="_Toc489278553"/>
      <w:bookmarkStart w:id="386" w:name="_Toc489278704"/>
      <w:bookmarkStart w:id="387" w:name="_Toc489278556"/>
      <w:bookmarkStart w:id="388" w:name="_Toc489278707"/>
      <w:bookmarkStart w:id="389" w:name="_Toc489278557"/>
      <w:bookmarkStart w:id="390" w:name="_Toc489278708"/>
      <w:bookmarkStart w:id="391" w:name="_Toc489278560"/>
      <w:bookmarkStart w:id="392" w:name="_Toc489278711"/>
      <w:bookmarkStart w:id="393" w:name="_Toc489278561"/>
      <w:bookmarkStart w:id="394" w:name="_Toc489278712"/>
      <w:bookmarkStart w:id="395" w:name="_Toc489278562"/>
      <w:bookmarkStart w:id="396" w:name="_Toc489278713"/>
      <w:bookmarkStart w:id="397" w:name="_Toc489278563"/>
      <w:bookmarkStart w:id="398" w:name="_Toc489278714"/>
      <w:bookmarkStart w:id="399" w:name="_Toc489278564"/>
      <w:bookmarkStart w:id="400" w:name="_Toc489278715"/>
      <w:bookmarkStart w:id="401" w:name="_Toc489278565"/>
      <w:bookmarkStart w:id="402" w:name="_Toc489278716"/>
      <w:bookmarkStart w:id="403" w:name="_Toc489278566"/>
      <w:bookmarkStart w:id="404" w:name="_Toc489278717"/>
      <w:bookmarkStart w:id="405" w:name="_Toc489278567"/>
      <w:bookmarkStart w:id="406" w:name="_Toc489278718"/>
      <w:bookmarkStart w:id="407" w:name="_Toc489278568"/>
      <w:bookmarkStart w:id="408" w:name="_Toc489278719"/>
      <w:bookmarkStart w:id="409" w:name="_Toc489278569"/>
      <w:bookmarkStart w:id="410" w:name="_Toc489278720"/>
      <w:bookmarkStart w:id="411" w:name="_Toc489278570"/>
      <w:bookmarkStart w:id="412" w:name="_Toc489278721"/>
      <w:bookmarkStart w:id="413" w:name="_Toc489278571"/>
      <w:bookmarkStart w:id="414" w:name="_Toc489278722"/>
      <w:bookmarkStart w:id="415" w:name="_Toc489278572"/>
      <w:bookmarkStart w:id="416" w:name="_Toc489278723"/>
      <w:bookmarkStart w:id="417" w:name="_Toc489278575"/>
      <w:bookmarkStart w:id="418" w:name="_Toc489278726"/>
      <w:bookmarkStart w:id="419" w:name="_Toc489278576"/>
      <w:bookmarkStart w:id="420" w:name="_Toc489278727"/>
      <w:bookmarkStart w:id="421" w:name="_Toc489278577"/>
      <w:bookmarkStart w:id="422" w:name="_Toc489278728"/>
      <w:bookmarkStart w:id="423" w:name="_Toc489278578"/>
      <w:bookmarkStart w:id="424" w:name="_Toc489278729"/>
      <w:bookmarkStart w:id="425" w:name="_Toc489278579"/>
      <w:bookmarkStart w:id="426" w:name="_Toc489278730"/>
      <w:bookmarkStart w:id="427" w:name="_Toc489278580"/>
      <w:bookmarkStart w:id="428" w:name="_Toc489278731"/>
      <w:bookmarkStart w:id="429" w:name="_Toc489278581"/>
      <w:bookmarkStart w:id="430" w:name="_Toc489278732"/>
      <w:bookmarkStart w:id="431" w:name="_Toc489278582"/>
      <w:bookmarkStart w:id="432" w:name="_Toc489278733"/>
      <w:bookmarkStart w:id="433" w:name="_Toc489278583"/>
      <w:bookmarkStart w:id="434" w:name="_Toc489278734"/>
      <w:bookmarkStart w:id="435" w:name="_Toc489278586"/>
      <w:bookmarkStart w:id="436" w:name="_Toc489278737"/>
      <w:bookmarkStart w:id="437" w:name="_Toc489278587"/>
      <w:bookmarkStart w:id="438" w:name="_Toc489278738"/>
      <w:bookmarkStart w:id="439" w:name="_Toc489278588"/>
      <w:bookmarkStart w:id="440" w:name="_Toc489278739"/>
      <w:bookmarkStart w:id="441" w:name="_Toc489278589"/>
      <w:bookmarkStart w:id="442" w:name="_Toc489278740"/>
      <w:bookmarkStart w:id="443" w:name="_Toc461177096"/>
      <w:bookmarkStart w:id="444" w:name="_Toc461177289"/>
      <w:bookmarkStart w:id="445" w:name="_Toc461177308"/>
      <w:bookmarkStart w:id="446" w:name="_Toc461179125"/>
      <w:bookmarkStart w:id="447" w:name="_Toc461177098"/>
      <w:bookmarkStart w:id="448" w:name="_Toc461177291"/>
      <w:bookmarkStart w:id="449" w:name="_Toc461177310"/>
      <w:bookmarkStart w:id="450" w:name="_Toc461179127"/>
      <w:bookmarkStart w:id="451" w:name="_Toc461177099"/>
      <w:bookmarkStart w:id="452" w:name="_Toc1424944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675794">
        <w:t>OTHER ENGAGEMENTS</w:t>
      </w:r>
      <w:bookmarkEnd w:id="451"/>
      <w:bookmarkEnd w:id="452"/>
    </w:p>
    <w:p w14:paraId="06993F1C" w14:textId="77777777" w:rsidR="00D11197" w:rsidRPr="00675794" w:rsidRDefault="00D11197" w:rsidP="00D11197">
      <w:pPr>
        <w:pStyle w:val="Heading2"/>
      </w:pPr>
      <w:r w:rsidRPr="00675794">
        <w:t>[</w:t>
      </w:r>
      <w:r w:rsidRPr="00D30510">
        <w:rPr>
          <w:rStyle w:val="Italic"/>
        </w:rPr>
        <w:t>Insert heading for new/</w:t>
      </w:r>
      <w:r w:rsidRPr="00675794" w:rsidDel="00F303EA">
        <w:rPr>
          <w:rStyle w:val="Italic"/>
        </w:rPr>
        <w:t xml:space="preserve"> </w:t>
      </w:r>
      <w:r w:rsidRPr="00D30510">
        <w:rPr>
          <w:rStyle w:val="Italic"/>
        </w:rPr>
        <w:t>recurring engagements</w:t>
      </w:r>
      <w:r w:rsidRPr="00675794">
        <w:t>]</w:t>
      </w:r>
    </w:p>
    <w:p w14:paraId="4016C9FF" w14:textId="77572789" w:rsidR="00D11197" w:rsidRPr="00675794" w:rsidRDefault="00D11197" w:rsidP="00D11197">
      <w:pPr>
        <w:pStyle w:val="BodyText"/>
      </w:pPr>
      <w:r w:rsidRPr="00675794">
        <w:t xml:space="preserve">[e.g. Audit under the </w:t>
      </w:r>
      <w:r w:rsidR="00F95062" w:rsidRPr="00F95062">
        <w:rPr>
          <w:rStyle w:val="Italic"/>
        </w:rPr>
        <w:t>Charitable Fundraising Act 1991</w:t>
      </w:r>
      <w:r w:rsidRPr="00675794">
        <w:t>, Audit/Review of Australian Financial Services (AFS) Licence</w:t>
      </w:r>
      <w:r>
        <w:t>.</w:t>
      </w:r>
      <w:r w:rsidRPr="00D11197">
        <w:t xml:space="preserve"> Only include audits where the Audit Office issues the opinion.</w:t>
      </w:r>
      <w:r w:rsidRPr="00675794">
        <w:t>]</w:t>
      </w:r>
    </w:p>
    <w:p w14:paraId="455017A6" w14:textId="77777777" w:rsidR="00D11197" w:rsidRPr="00675794" w:rsidRDefault="00D11197" w:rsidP="00D11197">
      <w:pPr>
        <w:pStyle w:val="Heading2"/>
      </w:pPr>
      <w:r w:rsidRPr="00675794">
        <w:t>Additional Engagements</w:t>
      </w:r>
      <w:r w:rsidRPr="00675794">
        <w:rPr>
          <w:rStyle w:val="FootnoteReference"/>
        </w:rPr>
        <w:footnoteReference w:id="3"/>
      </w:r>
    </w:p>
    <w:p w14:paraId="2CA8173E" w14:textId="77777777" w:rsidR="00D11197" w:rsidRPr="00675794" w:rsidRDefault="00D11197" w:rsidP="00D11197">
      <w:pPr>
        <w:pStyle w:val="BodyText"/>
      </w:pPr>
      <w:r w:rsidRPr="00675794">
        <w:t>The [</w:t>
      </w:r>
      <w:r w:rsidRPr="00D30510">
        <w:rPr>
          <w:rStyle w:val="Italic"/>
        </w:rPr>
        <w:t>abbreviated name</w:t>
      </w:r>
      <w:r w:rsidRPr="00675794">
        <w:t>] may require audits of grant acquittals, compliance with legislation, or to provide assurance on information, reports or returns under the terms of a contract, lease or agreement.]</w:t>
      </w:r>
      <w:r w:rsidRPr="00675794">
        <w:rPr>
          <w:rStyle w:val="FootnoteReference"/>
        </w:rPr>
        <w:footnoteReference w:id="4"/>
      </w:r>
    </w:p>
    <w:p w14:paraId="47907A7E" w14:textId="77777777" w:rsidR="00D11197" w:rsidRPr="00675794" w:rsidRDefault="00D11197" w:rsidP="00D11197">
      <w:pPr>
        <w:pStyle w:val="BodyText"/>
      </w:pPr>
      <w:r w:rsidRPr="00675794">
        <w:t>Please advise the audit team if the [</w:t>
      </w:r>
      <w:r w:rsidRPr="00675794">
        <w:rPr>
          <w:rStyle w:val="Italic"/>
        </w:rPr>
        <w:t>abbreviated name</w:t>
      </w:r>
      <w:r w:rsidRPr="00675794">
        <w:t>] wishes to engage the Audit Office to perform additional audits, reviews or acquittals. Separate engagement letters will be issued to confirm the terms, scope, key issues and fee arrangements for requests</w:t>
      </w:r>
      <w:r>
        <w:t xml:space="preserve"> received after the issue of this AEP</w:t>
      </w:r>
      <w:r w:rsidRPr="00675794">
        <w:t>.</w:t>
      </w:r>
    </w:p>
    <w:p w14:paraId="0CB80CDE" w14:textId="77777777" w:rsidR="00D11197" w:rsidRPr="00D11197" w:rsidRDefault="00D11197" w:rsidP="00D11197">
      <w:pPr>
        <w:pStyle w:val="Heading1-NumberedRED"/>
      </w:pPr>
      <w:bookmarkStart w:id="453" w:name="_Toc461177100"/>
      <w:bookmarkStart w:id="454" w:name="_Toc461177293"/>
      <w:bookmarkStart w:id="455" w:name="_Toc461177312"/>
      <w:bookmarkStart w:id="456" w:name="_Toc461179129"/>
      <w:bookmarkStart w:id="457" w:name="_Toc181433494"/>
      <w:bookmarkStart w:id="458" w:name="_Toc181499907"/>
      <w:bookmarkStart w:id="459" w:name="_Toc461177101"/>
      <w:bookmarkStart w:id="460" w:name="_Toc14249449"/>
      <w:bookmarkEnd w:id="453"/>
      <w:bookmarkEnd w:id="454"/>
      <w:bookmarkEnd w:id="455"/>
      <w:bookmarkEnd w:id="456"/>
      <w:r w:rsidRPr="00675794">
        <w:t xml:space="preserve">ENGAGEMENT </w:t>
      </w:r>
      <w:r w:rsidRPr="00D11197">
        <w:t>FEES</w:t>
      </w:r>
      <w:bookmarkEnd w:id="457"/>
      <w:bookmarkEnd w:id="458"/>
      <w:bookmarkEnd w:id="459"/>
      <w:bookmarkEnd w:id="460"/>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D11197" w:rsidRPr="00675794" w14:paraId="1EC7033D" w14:textId="77777777" w:rsidTr="00C60F3E">
        <w:tc>
          <w:tcPr>
            <w:tcW w:w="5000" w:type="pct"/>
            <w:shd w:val="clear" w:color="auto" w:fill="D9D9D9" w:themeFill="background1" w:themeFillShade="D9"/>
          </w:tcPr>
          <w:p w14:paraId="0BD25301" w14:textId="77777777" w:rsidR="00D11197" w:rsidRPr="00D11197" w:rsidRDefault="00D11197" w:rsidP="00D11197">
            <w:pPr>
              <w:pStyle w:val="Tabletext"/>
              <w:rPr>
                <w:rStyle w:val="Bold"/>
              </w:rPr>
            </w:pPr>
            <w:r w:rsidRPr="00675794">
              <w:rPr>
                <w:rStyle w:val="Bold"/>
              </w:rPr>
              <w:t>You may include individual audit fees for each entity in the economic entity.</w:t>
            </w:r>
          </w:p>
        </w:tc>
      </w:tr>
    </w:tbl>
    <w:p w14:paraId="53D405A3"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675794" w14:paraId="17773E4A" w14:textId="77777777" w:rsidTr="00C60F3E">
        <w:trPr>
          <w:trHeight w:val="424"/>
        </w:trPr>
        <w:tc>
          <w:tcPr>
            <w:tcW w:w="9072" w:type="dxa"/>
            <w:shd w:val="clear" w:color="auto" w:fill="D9D9D9" w:themeFill="background1" w:themeFillShade="D9"/>
          </w:tcPr>
          <w:p w14:paraId="07E92D30" w14:textId="65949F6A" w:rsidR="00D11197" w:rsidRPr="00D11197" w:rsidRDefault="00D11197" w:rsidP="00D11197">
            <w:pPr>
              <w:pStyle w:val="Tabletext"/>
              <w:rPr>
                <w:rStyle w:val="Bold"/>
              </w:rPr>
            </w:pPr>
            <w:r w:rsidRPr="00675794">
              <w:rPr>
                <w:rStyle w:val="Bold"/>
              </w:rPr>
              <w:t>Fee disclosures are detailed below and our standard charge</w:t>
            </w:r>
            <w:r w:rsidR="00F95062">
              <w:rPr>
                <w:rStyle w:val="Bold"/>
              </w:rPr>
              <w:noBreakHyphen/>
            </w:r>
            <w:r w:rsidRPr="00D11197">
              <w:rPr>
                <w:rStyle w:val="Bold"/>
              </w:rPr>
              <w:t>out rates are disclosed on our website. Audit teams need to complete all fields in the table below. Additional audit fees need to be explained.</w:t>
            </w:r>
          </w:p>
        </w:tc>
      </w:tr>
    </w:tbl>
    <w:p w14:paraId="549D6B08"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675794" w14:paraId="043BD230" w14:textId="77777777" w:rsidTr="00C60F3E">
        <w:tc>
          <w:tcPr>
            <w:tcW w:w="8953" w:type="dxa"/>
            <w:shd w:val="clear" w:color="auto" w:fill="D9D9D9" w:themeFill="background1" w:themeFillShade="D9"/>
          </w:tcPr>
          <w:p w14:paraId="361FFD0E" w14:textId="77777777" w:rsidR="00D11197" w:rsidRPr="00D11197" w:rsidRDefault="00D11197" w:rsidP="00D11197">
            <w:pPr>
              <w:pStyle w:val="Tabletext"/>
              <w:rPr>
                <w:rStyle w:val="Bold"/>
              </w:rPr>
            </w:pPr>
            <w:r w:rsidRPr="00675794">
              <w:rPr>
                <w:rStyle w:val="Bold"/>
              </w:rPr>
              <w:t xml:space="preserve">The total audit fee </w:t>
            </w:r>
            <w:r w:rsidRPr="00D11197">
              <w:rPr>
                <w:rStyle w:val="Bold"/>
              </w:rPr>
              <w:t xml:space="preserve">need to agree with Elite details. </w:t>
            </w:r>
          </w:p>
        </w:tc>
      </w:tr>
    </w:tbl>
    <w:p w14:paraId="05FB3596" w14:textId="77777777" w:rsidR="00D11197" w:rsidRPr="00675794" w:rsidRDefault="00D11197" w:rsidP="00D11197">
      <w:pPr>
        <w:pStyle w:val="BodyText"/>
      </w:pPr>
    </w:p>
    <w:tbl>
      <w:tblPr>
        <w:tblW w:w="9070" w:type="dxa"/>
        <w:tblLayout w:type="fixed"/>
        <w:tblLook w:val="0000" w:firstRow="0" w:lastRow="0" w:firstColumn="0" w:lastColumn="0" w:noHBand="0" w:noVBand="0"/>
      </w:tblPr>
      <w:tblGrid>
        <w:gridCol w:w="3400"/>
        <w:gridCol w:w="1417"/>
        <w:gridCol w:w="1418"/>
        <w:gridCol w:w="1417"/>
        <w:gridCol w:w="1418"/>
      </w:tblGrid>
      <w:tr w:rsidR="00F95062" w:rsidRPr="00675794" w14:paraId="55F37E4F" w14:textId="77777777" w:rsidTr="005920BA">
        <w:trPr>
          <w:tblHeader/>
        </w:trPr>
        <w:tc>
          <w:tcPr>
            <w:tcW w:w="3400" w:type="dxa"/>
            <w:tcBorders>
              <w:bottom w:val="single" w:sz="18" w:space="0" w:color="D9AD5F"/>
            </w:tcBorders>
            <w:shd w:val="clear" w:color="auto" w:fill="auto"/>
          </w:tcPr>
          <w:p w14:paraId="11436D2C" w14:textId="77777777" w:rsidR="00D11197" w:rsidRPr="00675794" w:rsidRDefault="00D11197" w:rsidP="005920BA">
            <w:pPr>
              <w:pStyle w:val="Tableheading-rightaligned"/>
            </w:pPr>
          </w:p>
        </w:tc>
        <w:tc>
          <w:tcPr>
            <w:tcW w:w="1417" w:type="dxa"/>
            <w:tcBorders>
              <w:bottom w:val="single" w:sz="18" w:space="0" w:color="D9AD5F"/>
            </w:tcBorders>
            <w:shd w:val="clear" w:color="auto" w:fill="auto"/>
          </w:tcPr>
          <w:p w14:paraId="62BFF4DE" w14:textId="77777777" w:rsidR="00D11197" w:rsidRPr="00D11197" w:rsidRDefault="00D11197" w:rsidP="0063146B">
            <w:pPr>
              <w:pStyle w:val="Tableheading-rightaligned"/>
            </w:pPr>
            <w:r w:rsidRPr="00675794">
              <w:t>20</w:t>
            </w:r>
            <w:r w:rsidRPr="005920BA">
              <w:rPr>
                <w:i/>
              </w:rPr>
              <w:t>X</w:t>
            </w:r>
            <w:r w:rsidRPr="0063146B">
              <w:rPr>
                <w:rStyle w:val="Italic"/>
              </w:rPr>
              <w:t>X</w:t>
            </w:r>
          </w:p>
        </w:tc>
        <w:tc>
          <w:tcPr>
            <w:tcW w:w="1418" w:type="dxa"/>
            <w:tcBorders>
              <w:bottom w:val="single" w:sz="18" w:space="0" w:color="D9AD5F"/>
            </w:tcBorders>
            <w:shd w:val="clear" w:color="auto" w:fill="auto"/>
          </w:tcPr>
          <w:p w14:paraId="7921D837" w14:textId="77777777" w:rsidR="00D11197" w:rsidRPr="00D11197" w:rsidRDefault="00D11197" w:rsidP="0063146B">
            <w:pPr>
              <w:pStyle w:val="Tableheading-rightaligned"/>
            </w:pPr>
            <w:r w:rsidRPr="00675794">
              <w:t>20</w:t>
            </w:r>
            <w:r w:rsidRPr="005920BA">
              <w:rPr>
                <w:i/>
              </w:rPr>
              <w:t>X</w:t>
            </w:r>
            <w:r w:rsidRPr="0063146B">
              <w:rPr>
                <w:rStyle w:val="Italic"/>
              </w:rPr>
              <w:t>X</w:t>
            </w:r>
          </w:p>
        </w:tc>
        <w:tc>
          <w:tcPr>
            <w:tcW w:w="2835" w:type="dxa"/>
            <w:gridSpan w:val="2"/>
            <w:tcBorders>
              <w:bottom w:val="single" w:sz="18" w:space="0" w:color="D9AD5F"/>
            </w:tcBorders>
            <w:shd w:val="clear" w:color="auto" w:fill="auto"/>
          </w:tcPr>
          <w:p w14:paraId="2270A194" w14:textId="77777777" w:rsidR="00D11197" w:rsidRPr="00D11197" w:rsidRDefault="00D11197" w:rsidP="0063146B">
            <w:pPr>
              <w:pStyle w:val="Tableheading-rightaligned"/>
            </w:pPr>
            <w:r w:rsidRPr="00675794">
              <w:t>Increase/(decrease)</w:t>
            </w:r>
          </w:p>
        </w:tc>
      </w:tr>
      <w:tr w:rsidR="00D11197" w:rsidRPr="00675794" w14:paraId="755D2E9C" w14:textId="77777777" w:rsidTr="005920BA">
        <w:trPr>
          <w:tblHeader/>
        </w:trPr>
        <w:tc>
          <w:tcPr>
            <w:tcW w:w="3400" w:type="dxa"/>
            <w:tcBorders>
              <w:top w:val="single" w:sz="18" w:space="0" w:color="D9AD5F"/>
              <w:bottom w:val="single" w:sz="12" w:space="0" w:color="D9AD5F"/>
            </w:tcBorders>
            <w:shd w:val="clear" w:color="auto" w:fill="EFEFF0"/>
          </w:tcPr>
          <w:p w14:paraId="79418AD7" w14:textId="77777777" w:rsidR="00D11197" w:rsidRPr="00675794" w:rsidRDefault="00D11197" w:rsidP="00D11197">
            <w:pPr>
              <w:pStyle w:val="Tableheading-leftaligned"/>
            </w:pPr>
          </w:p>
        </w:tc>
        <w:tc>
          <w:tcPr>
            <w:tcW w:w="1417" w:type="dxa"/>
            <w:tcBorders>
              <w:top w:val="single" w:sz="18" w:space="0" w:color="D9AD5F"/>
              <w:bottom w:val="single" w:sz="12" w:space="0" w:color="D9AD5F"/>
            </w:tcBorders>
            <w:shd w:val="clear" w:color="auto" w:fill="EFEFF0"/>
          </w:tcPr>
          <w:p w14:paraId="62785AC1" w14:textId="77777777" w:rsidR="00D11197" w:rsidRPr="0063146B" w:rsidRDefault="00D11197" w:rsidP="0063146B">
            <w:pPr>
              <w:pStyle w:val="Tableheading-rightaligned"/>
            </w:pPr>
            <w:r w:rsidRPr="0063146B">
              <w:t>$</w:t>
            </w:r>
          </w:p>
        </w:tc>
        <w:tc>
          <w:tcPr>
            <w:tcW w:w="1418" w:type="dxa"/>
            <w:tcBorders>
              <w:top w:val="single" w:sz="18" w:space="0" w:color="D9AD5F"/>
              <w:bottom w:val="single" w:sz="12" w:space="0" w:color="D9AD5F"/>
            </w:tcBorders>
            <w:shd w:val="clear" w:color="auto" w:fill="EFEFF0"/>
          </w:tcPr>
          <w:p w14:paraId="3E3E99AC" w14:textId="77777777" w:rsidR="00D11197" w:rsidRPr="0063146B" w:rsidRDefault="00D11197" w:rsidP="0063146B">
            <w:pPr>
              <w:pStyle w:val="Tableheading-rightaligned"/>
            </w:pPr>
            <w:r w:rsidRPr="0063146B">
              <w:t>$</w:t>
            </w:r>
          </w:p>
        </w:tc>
        <w:tc>
          <w:tcPr>
            <w:tcW w:w="1417" w:type="dxa"/>
            <w:tcBorders>
              <w:top w:val="single" w:sz="18" w:space="0" w:color="D9AD5F"/>
              <w:bottom w:val="single" w:sz="12" w:space="0" w:color="D9AD5F"/>
            </w:tcBorders>
            <w:shd w:val="clear" w:color="auto" w:fill="EFEFF0"/>
          </w:tcPr>
          <w:p w14:paraId="029A231F" w14:textId="77777777" w:rsidR="00D11197" w:rsidRPr="0063146B" w:rsidRDefault="00D11197" w:rsidP="0063146B">
            <w:pPr>
              <w:pStyle w:val="Tableheading-rightaligned"/>
            </w:pPr>
            <w:r w:rsidRPr="0063146B">
              <w:t>$</w:t>
            </w:r>
          </w:p>
        </w:tc>
        <w:tc>
          <w:tcPr>
            <w:tcW w:w="1418" w:type="dxa"/>
            <w:tcBorders>
              <w:top w:val="single" w:sz="18" w:space="0" w:color="D9AD5F"/>
              <w:bottom w:val="single" w:sz="12" w:space="0" w:color="D9AD5F"/>
            </w:tcBorders>
            <w:shd w:val="clear" w:color="auto" w:fill="EFEFF0"/>
          </w:tcPr>
          <w:p w14:paraId="6E42023F" w14:textId="77777777" w:rsidR="00D11197" w:rsidRPr="0063146B" w:rsidRDefault="00D11197" w:rsidP="0063146B">
            <w:pPr>
              <w:pStyle w:val="Tableheading-rightaligned"/>
            </w:pPr>
            <w:r w:rsidRPr="0063146B">
              <w:t>%</w:t>
            </w:r>
          </w:p>
        </w:tc>
      </w:tr>
      <w:tr w:rsidR="00D11197" w:rsidRPr="00675794" w14:paraId="465A8B4E" w14:textId="77777777" w:rsidTr="005920BA">
        <w:tc>
          <w:tcPr>
            <w:tcW w:w="3400" w:type="dxa"/>
            <w:tcBorders>
              <w:top w:val="single" w:sz="12" w:space="0" w:color="D9AD5F"/>
            </w:tcBorders>
          </w:tcPr>
          <w:p w14:paraId="12D21408" w14:textId="77777777" w:rsidR="00D11197" w:rsidRPr="00D11197" w:rsidRDefault="00D11197" w:rsidP="00D11197">
            <w:pPr>
              <w:pStyle w:val="Tabletext"/>
            </w:pPr>
            <w:r w:rsidRPr="00675794">
              <w:t>Estimated audit fee</w:t>
            </w:r>
          </w:p>
        </w:tc>
        <w:tc>
          <w:tcPr>
            <w:tcW w:w="1417" w:type="dxa"/>
            <w:tcBorders>
              <w:top w:val="single" w:sz="12" w:space="0" w:color="D9AD5F"/>
            </w:tcBorders>
            <w:vAlign w:val="bottom"/>
          </w:tcPr>
          <w:p w14:paraId="2057260A" w14:textId="77777777" w:rsidR="00D11197" w:rsidRPr="00F95062" w:rsidRDefault="00D11197">
            <w:pPr>
              <w:pStyle w:val="Tabletext-rightaligned"/>
            </w:pPr>
          </w:p>
        </w:tc>
        <w:tc>
          <w:tcPr>
            <w:tcW w:w="1418" w:type="dxa"/>
            <w:tcBorders>
              <w:top w:val="single" w:sz="12" w:space="0" w:color="D9AD5F"/>
            </w:tcBorders>
            <w:vAlign w:val="bottom"/>
          </w:tcPr>
          <w:p w14:paraId="4A5B0AC6" w14:textId="77777777" w:rsidR="00D11197" w:rsidRPr="00F95062" w:rsidRDefault="00D11197">
            <w:pPr>
              <w:pStyle w:val="Tabletext-rightaligned"/>
            </w:pPr>
          </w:p>
        </w:tc>
        <w:tc>
          <w:tcPr>
            <w:tcW w:w="1417" w:type="dxa"/>
            <w:tcBorders>
              <w:top w:val="single" w:sz="12" w:space="0" w:color="D9AD5F"/>
            </w:tcBorders>
            <w:vAlign w:val="bottom"/>
          </w:tcPr>
          <w:p w14:paraId="21B9302A" w14:textId="77777777" w:rsidR="00D11197" w:rsidRPr="00F95062" w:rsidRDefault="00D11197">
            <w:pPr>
              <w:pStyle w:val="Tabletext-rightaligned"/>
            </w:pPr>
          </w:p>
        </w:tc>
        <w:tc>
          <w:tcPr>
            <w:tcW w:w="1418" w:type="dxa"/>
            <w:tcBorders>
              <w:top w:val="single" w:sz="12" w:space="0" w:color="D9AD5F"/>
            </w:tcBorders>
            <w:vAlign w:val="bottom"/>
          </w:tcPr>
          <w:p w14:paraId="587973C1" w14:textId="77777777" w:rsidR="00D11197" w:rsidRPr="00F95062" w:rsidRDefault="00D11197">
            <w:pPr>
              <w:pStyle w:val="Tabletext-rightaligned"/>
            </w:pPr>
          </w:p>
        </w:tc>
      </w:tr>
      <w:tr w:rsidR="00D11197" w:rsidRPr="00675794" w14:paraId="342C88AD" w14:textId="77777777" w:rsidTr="005920BA">
        <w:tc>
          <w:tcPr>
            <w:tcW w:w="3400" w:type="dxa"/>
          </w:tcPr>
          <w:p w14:paraId="1A9F0129" w14:textId="77777777" w:rsidR="00D11197" w:rsidRPr="00D11197" w:rsidRDefault="00D11197" w:rsidP="00D11197">
            <w:pPr>
              <w:pStyle w:val="Tabletext"/>
            </w:pPr>
            <w:r w:rsidRPr="00675794">
              <w:t>[</w:t>
            </w:r>
            <w:r w:rsidRPr="00D11197">
              <w:rPr>
                <w:rStyle w:val="Italic"/>
              </w:rPr>
              <w:t>Additional fees</w:t>
            </w:r>
            <w:r w:rsidRPr="00D11197">
              <w:t>]</w:t>
            </w:r>
          </w:p>
        </w:tc>
        <w:tc>
          <w:tcPr>
            <w:tcW w:w="1417" w:type="dxa"/>
            <w:tcBorders>
              <w:bottom w:val="single" w:sz="4" w:space="0" w:color="auto"/>
            </w:tcBorders>
            <w:vAlign w:val="bottom"/>
          </w:tcPr>
          <w:p w14:paraId="60FC42DB" w14:textId="77777777" w:rsidR="00D11197" w:rsidRPr="00F95062" w:rsidRDefault="00D11197">
            <w:pPr>
              <w:pStyle w:val="Tabletext-rightaligned"/>
            </w:pPr>
          </w:p>
        </w:tc>
        <w:tc>
          <w:tcPr>
            <w:tcW w:w="1418" w:type="dxa"/>
            <w:tcBorders>
              <w:bottom w:val="single" w:sz="4" w:space="0" w:color="auto"/>
            </w:tcBorders>
            <w:vAlign w:val="bottom"/>
          </w:tcPr>
          <w:p w14:paraId="489DB7E8" w14:textId="77777777" w:rsidR="00D11197" w:rsidRPr="00F95062" w:rsidRDefault="00D11197">
            <w:pPr>
              <w:pStyle w:val="Tabletext-rightaligned"/>
            </w:pPr>
          </w:p>
        </w:tc>
        <w:tc>
          <w:tcPr>
            <w:tcW w:w="1417" w:type="dxa"/>
            <w:tcBorders>
              <w:bottom w:val="single" w:sz="4" w:space="0" w:color="auto"/>
            </w:tcBorders>
            <w:vAlign w:val="bottom"/>
          </w:tcPr>
          <w:p w14:paraId="65A50BC8" w14:textId="77777777" w:rsidR="00D11197" w:rsidRPr="00F95062" w:rsidRDefault="00D11197">
            <w:pPr>
              <w:pStyle w:val="Tabletext-rightaligned"/>
            </w:pPr>
          </w:p>
        </w:tc>
        <w:tc>
          <w:tcPr>
            <w:tcW w:w="1418" w:type="dxa"/>
            <w:tcBorders>
              <w:bottom w:val="single" w:sz="4" w:space="0" w:color="auto"/>
            </w:tcBorders>
            <w:vAlign w:val="bottom"/>
          </w:tcPr>
          <w:p w14:paraId="07C1E2F5" w14:textId="77777777" w:rsidR="00D11197" w:rsidRPr="00F95062" w:rsidRDefault="00D11197">
            <w:pPr>
              <w:pStyle w:val="Tabletext-rightaligned"/>
            </w:pPr>
          </w:p>
        </w:tc>
      </w:tr>
      <w:tr w:rsidR="00D11197" w:rsidRPr="00675794" w14:paraId="3440F0E8" w14:textId="77777777" w:rsidTr="005920BA">
        <w:tc>
          <w:tcPr>
            <w:tcW w:w="3400" w:type="dxa"/>
          </w:tcPr>
          <w:p w14:paraId="2B842D1D" w14:textId="77777777" w:rsidR="00D11197" w:rsidRPr="00D11197" w:rsidRDefault="00D11197" w:rsidP="00D11197">
            <w:pPr>
              <w:pStyle w:val="Tabletext"/>
              <w:rPr>
                <w:rStyle w:val="Bold"/>
              </w:rPr>
            </w:pPr>
            <w:r w:rsidRPr="00675794">
              <w:rPr>
                <w:rStyle w:val="Bold"/>
              </w:rPr>
              <w:t>Total audit fee (excluding GST)</w:t>
            </w:r>
          </w:p>
        </w:tc>
        <w:tc>
          <w:tcPr>
            <w:tcW w:w="1417" w:type="dxa"/>
            <w:tcBorders>
              <w:top w:val="single" w:sz="4" w:space="0" w:color="auto"/>
              <w:bottom w:val="double" w:sz="4" w:space="0" w:color="auto"/>
            </w:tcBorders>
            <w:vAlign w:val="bottom"/>
          </w:tcPr>
          <w:p w14:paraId="08C38A54" w14:textId="77777777" w:rsidR="00D11197" w:rsidRPr="005920BA" w:rsidRDefault="00D11197">
            <w:pPr>
              <w:pStyle w:val="Tableheading-rightaligned"/>
              <w:rPr>
                <w:rStyle w:val="Bold"/>
                <w:b/>
              </w:rPr>
            </w:pPr>
          </w:p>
        </w:tc>
        <w:tc>
          <w:tcPr>
            <w:tcW w:w="1418" w:type="dxa"/>
            <w:tcBorders>
              <w:top w:val="single" w:sz="4" w:space="0" w:color="auto"/>
              <w:bottom w:val="double" w:sz="4" w:space="0" w:color="auto"/>
            </w:tcBorders>
            <w:vAlign w:val="bottom"/>
          </w:tcPr>
          <w:p w14:paraId="509E755B" w14:textId="77777777" w:rsidR="00D11197" w:rsidRPr="005920BA" w:rsidRDefault="00D11197">
            <w:pPr>
              <w:pStyle w:val="Tableheading-rightaligned"/>
              <w:rPr>
                <w:rStyle w:val="Bold"/>
                <w:b/>
              </w:rPr>
            </w:pPr>
          </w:p>
        </w:tc>
        <w:tc>
          <w:tcPr>
            <w:tcW w:w="1417" w:type="dxa"/>
            <w:tcBorders>
              <w:top w:val="single" w:sz="4" w:space="0" w:color="auto"/>
              <w:bottom w:val="double" w:sz="4" w:space="0" w:color="auto"/>
            </w:tcBorders>
            <w:vAlign w:val="bottom"/>
          </w:tcPr>
          <w:p w14:paraId="6A0910C7" w14:textId="77777777" w:rsidR="00D11197" w:rsidRPr="005920BA" w:rsidRDefault="00D11197">
            <w:pPr>
              <w:pStyle w:val="Tableheading-rightaligned"/>
              <w:rPr>
                <w:rStyle w:val="Bold"/>
                <w:b/>
              </w:rPr>
            </w:pPr>
          </w:p>
        </w:tc>
        <w:tc>
          <w:tcPr>
            <w:tcW w:w="1418" w:type="dxa"/>
            <w:tcBorders>
              <w:top w:val="single" w:sz="4" w:space="0" w:color="auto"/>
              <w:bottom w:val="double" w:sz="4" w:space="0" w:color="auto"/>
            </w:tcBorders>
            <w:vAlign w:val="bottom"/>
          </w:tcPr>
          <w:p w14:paraId="78D591A2" w14:textId="77777777" w:rsidR="00D11197" w:rsidRPr="005920BA" w:rsidRDefault="00D11197">
            <w:pPr>
              <w:pStyle w:val="Tableheading-rightaligned"/>
              <w:rPr>
                <w:rStyle w:val="Bold"/>
                <w:b/>
              </w:rPr>
            </w:pPr>
          </w:p>
        </w:tc>
      </w:tr>
      <w:tr w:rsidR="00D11197" w:rsidRPr="00675794" w14:paraId="16BAFA09" w14:textId="77777777" w:rsidTr="005920BA">
        <w:tc>
          <w:tcPr>
            <w:tcW w:w="3400" w:type="dxa"/>
          </w:tcPr>
          <w:p w14:paraId="3A66D444" w14:textId="77777777" w:rsidR="00D11197" w:rsidRPr="00D11197" w:rsidRDefault="00D11197" w:rsidP="00D11197">
            <w:pPr>
              <w:pStyle w:val="Tabletext"/>
              <w:rPr>
                <w:rStyle w:val="Bold"/>
              </w:rPr>
            </w:pPr>
            <w:r w:rsidRPr="00675794">
              <w:rPr>
                <w:rStyle w:val="Bold"/>
              </w:rPr>
              <w:t>Total audit hours</w:t>
            </w:r>
          </w:p>
        </w:tc>
        <w:tc>
          <w:tcPr>
            <w:tcW w:w="1417" w:type="dxa"/>
            <w:tcBorders>
              <w:top w:val="double" w:sz="4" w:space="0" w:color="auto"/>
              <w:bottom w:val="single" w:sz="4" w:space="0" w:color="auto"/>
            </w:tcBorders>
            <w:vAlign w:val="bottom"/>
          </w:tcPr>
          <w:p w14:paraId="15EA0255" w14:textId="77777777" w:rsidR="00D11197" w:rsidRPr="005920BA" w:rsidRDefault="00D11197">
            <w:pPr>
              <w:pStyle w:val="Tableheading-rightaligned"/>
              <w:rPr>
                <w:rStyle w:val="Bold"/>
                <w:b/>
              </w:rPr>
            </w:pPr>
          </w:p>
        </w:tc>
        <w:tc>
          <w:tcPr>
            <w:tcW w:w="1418" w:type="dxa"/>
            <w:tcBorders>
              <w:top w:val="double" w:sz="4" w:space="0" w:color="auto"/>
              <w:bottom w:val="single" w:sz="4" w:space="0" w:color="auto"/>
            </w:tcBorders>
            <w:vAlign w:val="bottom"/>
          </w:tcPr>
          <w:p w14:paraId="4D68313F" w14:textId="77777777" w:rsidR="00D11197" w:rsidRPr="005920BA" w:rsidRDefault="00D11197">
            <w:pPr>
              <w:pStyle w:val="Tableheading-rightaligned"/>
              <w:rPr>
                <w:rStyle w:val="Bold"/>
                <w:b/>
              </w:rPr>
            </w:pPr>
          </w:p>
        </w:tc>
        <w:tc>
          <w:tcPr>
            <w:tcW w:w="1417" w:type="dxa"/>
            <w:tcBorders>
              <w:top w:val="double" w:sz="4" w:space="0" w:color="auto"/>
              <w:bottom w:val="single" w:sz="4" w:space="0" w:color="auto"/>
            </w:tcBorders>
            <w:vAlign w:val="bottom"/>
          </w:tcPr>
          <w:p w14:paraId="31362AD5" w14:textId="77777777" w:rsidR="00D11197" w:rsidRPr="005920BA" w:rsidRDefault="00D11197">
            <w:pPr>
              <w:pStyle w:val="Tableheading-rightaligned"/>
              <w:rPr>
                <w:rStyle w:val="Bold"/>
                <w:b/>
              </w:rPr>
            </w:pPr>
          </w:p>
        </w:tc>
        <w:tc>
          <w:tcPr>
            <w:tcW w:w="1418" w:type="dxa"/>
            <w:tcBorders>
              <w:top w:val="double" w:sz="4" w:space="0" w:color="auto"/>
              <w:bottom w:val="single" w:sz="4" w:space="0" w:color="auto"/>
            </w:tcBorders>
            <w:vAlign w:val="bottom"/>
          </w:tcPr>
          <w:p w14:paraId="06160B45" w14:textId="77777777" w:rsidR="00D11197" w:rsidRPr="005920BA" w:rsidRDefault="00D11197">
            <w:pPr>
              <w:pStyle w:val="Tableheading-rightaligned"/>
              <w:rPr>
                <w:rStyle w:val="Bold"/>
                <w:b/>
              </w:rPr>
            </w:pPr>
          </w:p>
        </w:tc>
      </w:tr>
      <w:tr w:rsidR="00D11197" w:rsidRPr="00675794" w14:paraId="7D8DF0BC" w14:textId="77777777" w:rsidTr="005920BA">
        <w:tc>
          <w:tcPr>
            <w:tcW w:w="3400" w:type="dxa"/>
          </w:tcPr>
          <w:p w14:paraId="1E16E5F1" w14:textId="11B48E09" w:rsidR="00D11197" w:rsidRPr="00D11197" w:rsidRDefault="00D11197" w:rsidP="00D11197">
            <w:pPr>
              <w:pStyle w:val="Tabletext"/>
            </w:pPr>
            <w:r w:rsidRPr="00675794">
              <w:t>Average hourly rate</w:t>
            </w:r>
          </w:p>
        </w:tc>
        <w:tc>
          <w:tcPr>
            <w:tcW w:w="1417" w:type="dxa"/>
            <w:tcBorders>
              <w:top w:val="double" w:sz="4" w:space="0" w:color="auto"/>
              <w:bottom w:val="single" w:sz="4" w:space="0" w:color="auto"/>
            </w:tcBorders>
            <w:vAlign w:val="bottom"/>
          </w:tcPr>
          <w:p w14:paraId="6F800AA4" w14:textId="77777777" w:rsidR="00D11197" w:rsidRPr="00F95062" w:rsidRDefault="00D11197">
            <w:pPr>
              <w:pStyle w:val="Tabletext-rightaligned"/>
            </w:pPr>
          </w:p>
        </w:tc>
        <w:tc>
          <w:tcPr>
            <w:tcW w:w="1418" w:type="dxa"/>
            <w:tcBorders>
              <w:top w:val="double" w:sz="4" w:space="0" w:color="auto"/>
              <w:bottom w:val="single" w:sz="4" w:space="0" w:color="auto"/>
            </w:tcBorders>
            <w:vAlign w:val="bottom"/>
          </w:tcPr>
          <w:p w14:paraId="1E252958" w14:textId="77777777" w:rsidR="00D11197" w:rsidRPr="00F95062" w:rsidRDefault="00D11197">
            <w:pPr>
              <w:pStyle w:val="Tabletext-rightaligned"/>
            </w:pPr>
          </w:p>
        </w:tc>
        <w:tc>
          <w:tcPr>
            <w:tcW w:w="1417" w:type="dxa"/>
            <w:tcBorders>
              <w:top w:val="double" w:sz="4" w:space="0" w:color="auto"/>
              <w:bottom w:val="single" w:sz="4" w:space="0" w:color="auto"/>
            </w:tcBorders>
            <w:vAlign w:val="bottom"/>
          </w:tcPr>
          <w:p w14:paraId="12AFE0E0" w14:textId="77777777" w:rsidR="00D11197" w:rsidRPr="00F95062" w:rsidRDefault="00D11197">
            <w:pPr>
              <w:pStyle w:val="Tabletext-rightaligned"/>
            </w:pPr>
          </w:p>
        </w:tc>
        <w:tc>
          <w:tcPr>
            <w:tcW w:w="1418" w:type="dxa"/>
            <w:tcBorders>
              <w:top w:val="double" w:sz="4" w:space="0" w:color="auto"/>
              <w:bottom w:val="single" w:sz="4" w:space="0" w:color="auto"/>
            </w:tcBorders>
            <w:vAlign w:val="bottom"/>
          </w:tcPr>
          <w:p w14:paraId="0052A4EE" w14:textId="77777777" w:rsidR="00D11197" w:rsidRPr="00F95062" w:rsidRDefault="00D11197">
            <w:pPr>
              <w:pStyle w:val="Tabletext-rightaligned"/>
            </w:pPr>
          </w:p>
        </w:tc>
      </w:tr>
    </w:tbl>
    <w:p w14:paraId="495957EE" w14:textId="77777777" w:rsidR="00D11197" w:rsidRPr="00675794" w:rsidRDefault="00D11197" w:rsidP="00D11197">
      <w:pPr>
        <w:pStyle w:val="SingleLineText-Half"/>
      </w:pPr>
    </w:p>
    <w:p w14:paraId="038F2273" w14:textId="56B9B1A8" w:rsidR="00D11197" w:rsidRPr="00675794" w:rsidRDefault="00D11197" w:rsidP="00D11197">
      <w:pPr>
        <w:pStyle w:val="BodyText"/>
      </w:pPr>
      <w:r w:rsidRPr="00675794">
        <w:t>The estimated audit fee is based on estimated hours, the audit team structure and charge</w:t>
      </w:r>
      <w:r w:rsidR="00F95062">
        <w:noBreakHyphen/>
      </w:r>
      <w:r w:rsidRPr="00675794">
        <w:t>out rates, known changes in [</w:t>
      </w:r>
      <w:r w:rsidRPr="00D30510">
        <w:rPr>
          <w:rStyle w:val="Italic"/>
        </w:rPr>
        <w:t>abbreviated name</w:t>
      </w:r>
      <w:r w:rsidRPr="00675794">
        <w:t>]’s operations and audit requirements.</w:t>
      </w:r>
    </w:p>
    <w:p w14:paraId="25295937" w14:textId="2CE15153" w:rsidR="00D11197" w:rsidRPr="00675794" w:rsidRDefault="00D11197" w:rsidP="00D11197">
      <w:pPr>
        <w:pStyle w:val="BodyText"/>
      </w:pPr>
      <w:r w:rsidRPr="00675794">
        <w:t>[</w:t>
      </w:r>
      <w:r w:rsidRPr="00D30510">
        <w:rPr>
          <w:rStyle w:val="Italic"/>
        </w:rPr>
        <w:t>Include a brief explanation of the reasons for any large movements in the audit fee or the audit hours</w:t>
      </w:r>
      <w:r w:rsidRPr="00675794">
        <w:t>].</w:t>
      </w:r>
    </w:p>
    <w:p w14:paraId="3E5058BD" w14:textId="36B1F9AF" w:rsidR="00D11197" w:rsidRPr="00675794" w:rsidRDefault="00D11197" w:rsidP="00D11197">
      <w:pPr>
        <w:pStyle w:val="BodyText"/>
      </w:pPr>
      <w:r w:rsidRPr="00675794">
        <w:t>The Audit Office has published its ‘pricing approach’ to provide transparency about its pricing model and hourly charge</w:t>
      </w:r>
      <w:r w:rsidR="00F95062">
        <w:noBreakHyphen/>
      </w:r>
      <w:r w:rsidRPr="00675794">
        <w:t>out rates for each role. The Audit Office performs multi</w:t>
      </w:r>
      <w:r w:rsidR="00F95062">
        <w:noBreakHyphen/>
      </w:r>
      <w:r w:rsidRPr="00675794">
        <w:t xml:space="preserve">layered benchmarking to promote accountability for its use of public resources. For more information, please refer to the publication on the Audit Office’s </w:t>
      </w:r>
      <w:hyperlink r:id="rId27" w:history="1">
        <w:r w:rsidRPr="00675794">
          <w:rPr>
            <w:rStyle w:val="Hyperlink"/>
          </w:rPr>
          <w:t>website</w:t>
        </w:r>
      </w:hyperlink>
      <w:r w:rsidRPr="00675794">
        <w:t>.</w:t>
      </w:r>
    </w:p>
    <w:p w14:paraId="2B69289F" w14:textId="64C4700F" w:rsidR="00D11197" w:rsidRPr="00675794" w:rsidRDefault="00D11197">
      <w:pPr>
        <w:pStyle w:val="BodyText"/>
      </w:pPr>
      <w:r w:rsidRPr="00675794">
        <w:t xml:space="preserve">The fee may change if matters, not known at the date of this plan, emerge during the audit and significantly change the </w:t>
      </w:r>
      <w:r>
        <w:t>estimated</w:t>
      </w:r>
      <w:r w:rsidRPr="00675794">
        <w:t xml:space="preserve"> audit cost.</w:t>
      </w:r>
    </w:p>
    <w:p w14:paraId="7C482D0E" w14:textId="77777777" w:rsidR="00D11197" w:rsidRPr="00675794" w:rsidRDefault="00D11197" w:rsidP="00D11197">
      <w:pPr>
        <w:pStyle w:val="BodyText"/>
      </w:pPr>
      <w:r w:rsidRPr="00675794">
        <w:t>[</w:t>
      </w:r>
      <w:r w:rsidRPr="00D30510">
        <w:rPr>
          <w:rStyle w:val="Italic"/>
        </w:rPr>
        <w:t>A</w:t>
      </w:r>
      <w:r w:rsidRPr="00675794">
        <w:rPr>
          <w:rStyle w:val="Italic"/>
        </w:rPr>
        <w:t>bbreviated name</w:t>
      </w:r>
      <w:r w:rsidRPr="00675794">
        <w:t>] will be invoiced monthly as costs are incurred. The Audit Office’s payment terms are 14 days.</w:t>
      </w:r>
    </w:p>
    <w:p w14:paraId="77F5755B" w14:textId="5F0BE636" w:rsidR="00D11197" w:rsidRPr="00675794" w:rsidRDefault="00D11197" w:rsidP="00D11197">
      <w:pPr>
        <w:pStyle w:val="BodyText"/>
      </w:pPr>
      <w:r w:rsidRPr="00675794">
        <w:t>Please provide the Audit Office with a purchase order for the total estimated audit fee.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9070"/>
      </w:tblGrid>
      <w:tr w:rsidR="00D11197" w:rsidRPr="00033B40" w14:paraId="1B68E092" w14:textId="77777777" w:rsidTr="00C60F3E">
        <w:tc>
          <w:tcPr>
            <w:tcW w:w="5000" w:type="pct"/>
            <w:shd w:val="clear" w:color="auto" w:fill="D9D9D9" w:themeFill="background1" w:themeFillShade="D9"/>
          </w:tcPr>
          <w:p w14:paraId="1EA42D41" w14:textId="77777777" w:rsidR="00D11197" w:rsidRPr="00D11197" w:rsidRDefault="00D11197" w:rsidP="00D11197">
            <w:pPr>
              <w:pStyle w:val="Tabletext"/>
              <w:rPr>
                <w:rStyle w:val="Bold"/>
              </w:rPr>
            </w:pPr>
            <w:r w:rsidRPr="00033B40">
              <w:rPr>
                <w:rStyle w:val="Bold"/>
              </w:rPr>
              <w:t xml:space="preserve">Insert the table below if you have referred to other engagements in Section </w:t>
            </w:r>
            <w:r w:rsidRPr="00D11197">
              <w:rPr>
                <w:rStyle w:val="Bold"/>
              </w:rPr>
              <w:t>7.</w:t>
            </w:r>
          </w:p>
        </w:tc>
      </w:tr>
    </w:tbl>
    <w:p w14:paraId="217BFF3B" w14:textId="77777777" w:rsidR="00D11197" w:rsidRPr="00675794" w:rsidRDefault="00D11197" w:rsidP="00D11197">
      <w:pPr>
        <w:pStyle w:val="BodyText"/>
      </w:pPr>
    </w:p>
    <w:p w14:paraId="2CFB4B22" w14:textId="77777777" w:rsidR="00D11197" w:rsidRPr="00675794" w:rsidRDefault="00D11197" w:rsidP="00D11197">
      <w:pPr>
        <w:pStyle w:val="BodyText"/>
      </w:pPr>
      <w:r w:rsidRPr="00675794">
        <w:t>The estimated audit fee for [</w:t>
      </w:r>
      <w:r w:rsidRPr="00675794">
        <w:rPr>
          <w:rStyle w:val="Italic"/>
        </w:rPr>
        <w:t>insert the type of other engagement</w:t>
      </w:r>
      <w:r w:rsidRPr="00675794">
        <w:t>] is shown below.</w:t>
      </w:r>
    </w:p>
    <w:tbl>
      <w:tblPr>
        <w:tblW w:w="9070" w:type="dxa"/>
        <w:tblLayout w:type="fixed"/>
        <w:tblLook w:val="0000" w:firstRow="0" w:lastRow="0" w:firstColumn="0" w:lastColumn="0" w:noHBand="0" w:noVBand="0"/>
      </w:tblPr>
      <w:tblGrid>
        <w:gridCol w:w="3400"/>
        <w:gridCol w:w="1417"/>
        <w:gridCol w:w="1418"/>
        <w:gridCol w:w="1417"/>
        <w:gridCol w:w="1418"/>
      </w:tblGrid>
      <w:tr w:rsidR="00F95062" w:rsidRPr="00675794" w14:paraId="20C47F3A" w14:textId="77777777" w:rsidTr="005920BA">
        <w:trPr>
          <w:tblHeader/>
        </w:trPr>
        <w:tc>
          <w:tcPr>
            <w:tcW w:w="3402" w:type="dxa"/>
            <w:tcBorders>
              <w:bottom w:val="single" w:sz="18" w:space="0" w:color="D9AD5F"/>
            </w:tcBorders>
            <w:shd w:val="clear" w:color="auto" w:fill="auto"/>
          </w:tcPr>
          <w:p w14:paraId="3F7E22E1" w14:textId="77777777" w:rsidR="00D11197" w:rsidRPr="00675794" w:rsidRDefault="00D11197" w:rsidP="00D11197">
            <w:pPr>
              <w:pStyle w:val="Tableheading-leftaligned"/>
            </w:pPr>
            <w:bookmarkStart w:id="461" w:name="_Toc181433497"/>
            <w:bookmarkStart w:id="462" w:name="_Toc181499910"/>
          </w:p>
        </w:tc>
        <w:tc>
          <w:tcPr>
            <w:tcW w:w="1417" w:type="dxa"/>
            <w:tcBorders>
              <w:bottom w:val="single" w:sz="18" w:space="0" w:color="D9AD5F"/>
            </w:tcBorders>
            <w:shd w:val="clear" w:color="auto" w:fill="auto"/>
          </w:tcPr>
          <w:p w14:paraId="650CEF2C" w14:textId="77777777" w:rsidR="00D11197" w:rsidRPr="00D11197" w:rsidRDefault="00D11197" w:rsidP="00D11197">
            <w:pPr>
              <w:pStyle w:val="Tableheading-rightaligned"/>
            </w:pPr>
            <w:r w:rsidRPr="00675794">
              <w:t>20</w:t>
            </w:r>
            <w:r w:rsidRPr="005920BA">
              <w:rPr>
                <w:i/>
              </w:rPr>
              <w:t>XX</w:t>
            </w:r>
          </w:p>
        </w:tc>
        <w:tc>
          <w:tcPr>
            <w:tcW w:w="1418" w:type="dxa"/>
            <w:tcBorders>
              <w:bottom w:val="single" w:sz="18" w:space="0" w:color="D9AD5F"/>
            </w:tcBorders>
            <w:shd w:val="clear" w:color="auto" w:fill="auto"/>
          </w:tcPr>
          <w:p w14:paraId="3C40583B" w14:textId="77777777" w:rsidR="00D11197" w:rsidRPr="00D11197" w:rsidRDefault="00D11197" w:rsidP="00D11197">
            <w:pPr>
              <w:pStyle w:val="Tableheading-rightaligned"/>
            </w:pPr>
            <w:r w:rsidRPr="00675794">
              <w:t>20</w:t>
            </w:r>
            <w:r w:rsidRPr="005920BA">
              <w:rPr>
                <w:i/>
              </w:rPr>
              <w:t>XX</w:t>
            </w:r>
          </w:p>
        </w:tc>
        <w:tc>
          <w:tcPr>
            <w:tcW w:w="2835" w:type="dxa"/>
            <w:gridSpan w:val="2"/>
            <w:tcBorders>
              <w:bottom w:val="single" w:sz="18" w:space="0" w:color="D9AD5F"/>
            </w:tcBorders>
            <w:shd w:val="clear" w:color="auto" w:fill="auto"/>
          </w:tcPr>
          <w:p w14:paraId="0B85A2D5" w14:textId="77777777" w:rsidR="00D11197" w:rsidRPr="00D11197" w:rsidRDefault="00D11197" w:rsidP="00D11197">
            <w:pPr>
              <w:pStyle w:val="Tableheading-rightaligned"/>
            </w:pPr>
            <w:r w:rsidRPr="00675794">
              <w:t>Increase/(decrease)</w:t>
            </w:r>
          </w:p>
        </w:tc>
      </w:tr>
      <w:tr w:rsidR="00D11197" w:rsidRPr="00675794" w14:paraId="2CDF92C3" w14:textId="77777777" w:rsidTr="005920BA">
        <w:trPr>
          <w:tblHeader/>
        </w:trPr>
        <w:tc>
          <w:tcPr>
            <w:tcW w:w="3402" w:type="dxa"/>
            <w:tcBorders>
              <w:top w:val="single" w:sz="18" w:space="0" w:color="D9AD5F"/>
              <w:bottom w:val="single" w:sz="12" w:space="0" w:color="D9AD5F"/>
            </w:tcBorders>
            <w:shd w:val="clear" w:color="auto" w:fill="EFEFF0"/>
          </w:tcPr>
          <w:p w14:paraId="2D51903D" w14:textId="77777777" w:rsidR="00D11197" w:rsidRPr="00675794" w:rsidRDefault="00D11197" w:rsidP="00D11197">
            <w:pPr>
              <w:pStyle w:val="Tableheading-leftaligned"/>
            </w:pPr>
          </w:p>
        </w:tc>
        <w:tc>
          <w:tcPr>
            <w:tcW w:w="1417" w:type="dxa"/>
            <w:tcBorders>
              <w:top w:val="single" w:sz="18" w:space="0" w:color="D9AD5F"/>
              <w:bottom w:val="single" w:sz="12" w:space="0" w:color="D9AD5F"/>
            </w:tcBorders>
            <w:shd w:val="clear" w:color="auto" w:fill="EFEFF0"/>
          </w:tcPr>
          <w:p w14:paraId="2D174888" w14:textId="77777777" w:rsidR="00D11197" w:rsidRPr="00D11197" w:rsidRDefault="00D11197" w:rsidP="00D11197">
            <w:pPr>
              <w:pStyle w:val="Tableheading-rightaligned"/>
            </w:pPr>
            <w:r w:rsidRPr="00675794">
              <w:t>$</w:t>
            </w:r>
          </w:p>
        </w:tc>
        <w:tc>
          <w:tcPr>
            <w:tcW w:w="1418" w:type="dxa"/>
            <w:tcBorders>
              <w:top w:val="single" w:sz="18" w:space="0" w:color="D9AD5F"/>
              <w:bottom w:val="single" w:sz="12" w:space="0" w:color="D9AD5F"/>
            </w:tcBorders>
            <w:shd w:val="clear" w:color="auto" w:fill="EFEFF0"/>
          </w:tcPr>
          <w:p w14:paraId="7146511C" w14:textId="77777777" w:rsidR="00D11197" w:rsidRPr="00D11197" w:rsidRDefault="00D11197" w:rsidP="00D11197">
            <w:pPr>
              <w:pStyle w:val="Tableheading-rightaligned"/>
            </w:pPr>
            <w:r w:rsidRPr="00675794">
              <w:t>$</w:t>
            </w:r>
          </w:p>
        </w:tc>
        <w:tc>
          <w:tcPr>
            <w:tcW w:w="1417" w:type="dxa"/>
            <w:tcBorders>
              <w:top w:val="single" w:sz="18" w:space="0" w:color="D9AD5F"/>
              <w:bottom w:val="single" w:sz="12" w:space="0" w:color="D9AD5F"/>
            </w:tcBorders>
            <w:shd w:val="clear" w:color="auto" w:fill="EFEFF0"/>
          </w:tcPr>
          <w:p w14:paraId="31A298DB" w14:textId="77777777" w:rsidR="00D11197" w:rsidRPr="00D11197" w:rsidRDefault="00D11197" w:rsidP="00D11197">
            <w:pPr>
              <w:pStyle w:val="Tableheading-rightaligned"/>
            </w:pPr>
            <w:r w:rsidRPr="00675794">
              <w:t>$</w:t>
            </w:r>
          </w:p>
        </w:tc>
        <w:tc>
          <w:tcPr>
            <w:tcW w:w="1418" w:type="dxa"/>
            <w:tcBorders>
              <w:top w:val="single" w:sz="18" w:space="0" w:color="D9AD5F"/>
              <w:bottom w:val="single" w:sz="12" w:space="0" w:color="D9AD5F"/>
            </w:tcBorders>
            <w:shd w:val="clear" w:color="auto" w:fill="EFEFF0"/>
          </w:tcPr>
          <w:p w14:paraId="45CEE2CC" w14:textId="77777777" w:rsidR="00D11197" w:rsidRPr="00D11197" w:rsidRDefault="00D11197" w:rsidP="00D11197">
            <w:pPr>
              <w:pStyle w:val="Tableheading-rightaligned"/>
            </w:pPr>
            <w:r w:rsidRPr="00675794">
              <w:t>%</w:t>
            </w:r>
          </w:p>
        </w:tc>
      </w:tr>
      <w:tr w:rsidR="00D11197" w:rsidRPr="00675794" w14:paraId="0ADE5148" w14:textId="77777777" w:rsidTr="005920BA">
        <w:tc>
          <w:tcPr>
            <w:tcW w:w="3402" w:type="dxa"/>
            <w:tcBorders>
              <w:top w:val="single" w:sz="12" w:space="0" w:color="D9AD5F"/>
            </w:tcBorders>
          </w:tcPr>
          <w:p w14:paraId="180E16D6" w14:textId="77777777" w:rsidR="00D11197" w:rsidRPr="00D11197" w:rsidRDefault="00D11197" w:rsidP="00D11197">
            <w:pPr>
              <w:pStyle w:val="Tabletext"/>
            </w:pPr>
            <w:r w:rsidRPr="00675794">
              <w:t>Estimated audit fee</w:t>
            </w:r>
          </w:p>
        </w:tc>
        <w:tc>
          <w:tcPr>
            <w:tcW w:w="1417" w:type="dxa"/>
            <w:tcBorders>
              <w:top w:val="single" w:sz="12" w:space="0" w:color="D9AD5F"/>
            </w:tcBorders>
            <w:vAlign w:val="bottom"/>
          </w:tcPr>
          <w:p w14:paraId="6F8EDAF8" w14:textId="77777777" w:rsidR="00D11197" w:rsidRPr="00675794" w:rsidRDefault="00D11197" w:rsidP="005920BA">
            <w:pPr>
              <w:pStyle w:val="Tabletext-rightaligned"/>
            </w:pPr>
          </w:p>
        </w:tc>
        <w:tc>
          <w:tcPr>
            <w:tcW w:w="1418" w:type="dxa"/>
            <w:tcBorders>
              <w:top w:val="single" w:sz="12" w:space="0" w:color="D9AD5F"/>
            </w:tcBorders>
            <w:vAlign w:val="bottom"/>
          </w:tcPr>
          <w:p w14:paraId="56734405" w14:textId="77777777" w:rsidR="00D11197" w:rsidRPr="00675794" w:rsidRDefault="00D11197" w:rsidP="005920BA">
            <w:pPr>
              <w:pStyle w:val="Tabletext-rightaligned"/>
            </w:pPr>
          </w:p>
        </w:tc>
        <w:tc>
          <w:tcPr>
            <w:tcW w:w="1417" w:type="dxa"/>
            <w:tcBorders>
              <w:top w:val="single" w:sz="12" w:space="0" w:color="D9AD5F"/>
            </w:tcBorders>
            <w:vAlign w:val="bottom"/>
          </w:tcPr>
          <w:p w14:paraId="1F054B43" w14:textId="77777777" w:rsidR="00D11197" w:rsidRPr="00675794" w:rsidRDefault="00D11197" w:rsidP="005920BA">
            <w:pPr>
              <w:pStyle w:val="Tabletext-rightaligned"/>
            </w:pPr>
          </w:p>
        </w:tc>
        <w:tc>
          <w:tcPr>
            <w:tcW w:w="1418" w:type="dxa"/>
            <w:tcBorders>
              <w:top w:val="single" w:sz="12" w:space="0" w:color="D9AD5F"/>
            </w:tcBorders>
            <w:vAlign w:val="bottom"/>
          </w:tcPr>
          <w:p w14:paraId="2924FBD8" w14:textId="77777777" w:rsidR="00D11197" w:rsidRPr="00675794" w:rsidRDefault="00D11197" w:rsidP="005920BA">
            <w:pPr>
              <w:pStyle w:val="Tabletext-rightaligned"/>
            </w:pPr>
          </w:p>
        </w:tc>
      </w:tr>
      <w:tr w:rsidR="00D11197" w:rsidRPr="00675794" w14:paraId="35B1A18D" w14:textId="77777777" w:rsidTr="005920BA">
        <w:tc>
          <w:tcPr>
            <w:tcW w:w="3402" w:type="dxa"/>
          </w:tcPr>
          <w:p w14:paraId="0DE0F965" w14:textId="77777777" w:rsidR="00D11197" w:rsidRPr="00D11197" w:rsidRDefault="00D11197" w:rsidP="00D11197">
            <w:pPr>
              <w:pStyle w:val="Tabletext"/>
            </w:pPr>
            <w:r w:rsidRPr="00675794">
              <w:t>[</w:t>
            </w:r>
            <w:r w:rsidRPr="00D11197">
              <w:rPr>
                <w:rStyle w:val="Italic"/>
              </w:rPr>
              <w:t>Additional fees</w:t>
            </w:r>
            <w:r w:rsidRPr="00D11197">
              <w:t>]</w:t>
            </w:r>
          </w:p>
        </w:tc>
        <w:tc>
          <w:tcPr>
            <w:tcW w:w="1417" w:type="dxa"/>
            <w:tcBorders>
              <w:bottom w:val="single" w:sz="4" w:space="0" w:color="auto"/>
            </w:tcBorders>
            <w:vAlign w:val="bottom"/>
          </w:tcPr>
          <w:p w14:paraId="0ACC610D" w14:textId="77777777" w:rsidR="00D11197" w:rsidRPr="00675794" w:rsidRDefault="00D11197" w:rsidP="005920BA">
            <w:pPr>
              <w:pStyle w:val="Tabletext-rightaligned"/>
            </w:pPr>
          </w:p>
        </w:tc>
        <w:tc>
          <w:tcPr>
            <w:tcW w:w="1418" w:type="dxa"/>
            <w:tcBorders>
              <w:bottom w:val="single" w:sz="4" w:space="0" w:color="auto"/>
            </w:tcBorders>
            <w:vAlign w:val="bottom"/>
          </w:tcPr>
          <w:p w14:paraId="5DB3DC87" w14:textId="77777777" w:rsidR="00D11197" w:rsidRPr="00675794" w:rsidRDefault="00D11197" w:rsidP="005920BA">
            <w:pPr>
              <w:pStyle w:val="Tabletext-rightaligned"/>
            </w:pPr>
          </w:p>
        </w:tc>
        <w:tc>
          <w:tcPr>
            <w:tcW w:w="1417" w:type="dxa"/>
            <w:tcBorders>
              <w:bottom w:val="single" w:sz="4" w:space="0" w:color="auto"/>
            </w:tcBorders>
            <w:vAlign w:val="bottom"/>
          </w:tcPr>
          <w:p w14:paraId="582018B5" w14:textId="77777777" w:rsidR="00D11197" w:rsidRPr="00675794" w:rsidRDefault="00D11197" w:rsidP="005920BA">
            <w:pPr>
              <w:pStyle w:val="Tabletext-rightaligned"/>
            </w:pPr>
          </w:p>
        </w:tc>
        <w:tc>
          <w:tcPr>
            <w:tcW w:w="1418" w:type="dxa"/>
            <w:tcBorders>
              <w:bottom w:val="single" w:sz="4" w:space="0" w:color="auto"/>
            </w:tcBorders>
            <w:vAlign w:val="bottom"/>
          </w:tcPr>
          <w:p w14:paraId="6260C6A5" w14:textId="77777777" w:rsidR="00D11197" w:rsidRPr="00675794" w:rsidRDefault="00D11197" w:rsidP="005920BA">
            <w:pPr>
              <w:pStyle w:val="Tabletext-rightaligned"/>
            </w:pPr>
          </w:p>
        </w:tc>
      </w:tr>
      <w:tr w:rsidR="00D11197" w:rsidRPr="00675794" w14:paraId="3C74305C" w14:textId="77777777" w:rsidTr="005920BA">
        <w:tc>
          <w:tcPr>
            <w:tcW w:w="3402" w:type="dxa"/>
          </w:tcPr>
          <w:p w14:paraId="7A8F707E" w14:textId="77777777" w:rsidR="00D11197" w:rsidRPr="00D11197" w:rsidRDefault="00D11197" w:rsidP="00D11197">
            <w:pPr>
              <w:pStyle w:val="Tabletext"/>
              <w:rPr>
                <w:rStyle w:val="Bold"/>
              </w:rPr>
            </w:pPr>
            <w:r w:rsidRPr="00675794">
              <w:rPr>
                <w:rStyle w:val="Bold"/>
              </w:rPr>
              <w:t>Total audit fee (excluding GST)</w:t>
            </w:r>
          </w:p>
        </w:tc>
        <w:tc>
          <w:tcPr>
            <w:tcW w:w="1417" w:type="dxa"/>
            <w:tcBorders>
              <w:top w:val="single" w:sz="4" w:space="0" w:color="auto"/>
              <w:bottom w:val="double" w:sz="4" w:space="0" w:color="auto"/>
            </w:tcBorders>
            <w:vAlign w:val="bottom"/>
          </w:tcPr>
          <w:p w14:paraId="6BDB7C8B" w14:textId="77777777" w:rsidR="00D11197" w:rsidRPr="005920BA" w:rsidRDefault="00D11197" w:rsidP="005920BA">
            <w:pPr>
              <w:pStyle w:val="Tableheading-rightaligned"/>
            </w:pPr>
          </w:p>
        </w:tc>
        <w:tc>
          <w:tcPr>
            <w:tcW w:w="1418" w:type="dxa"/>
            <w:tcBorders>
              <w:top w:val="single" w:sz="4" w:space="0" w:color="auto"/>
              <w:bottom w:val="double" w:sz="4" w:space="0" w:color="auto"/>
            </w:tcBorders>
            <w:vAlign w:val="bottom"/>
          </w:tcPr>
          <w:p w14:paraId="5E45DA8E" w14:textId="77777777" w:rsidR="00D11197" w:rsidRPr="005920BA" w:rsidRDefault="00D11197" w:rsidP="005920BA">
            <w:pPr>
              <w:pStyle w:val="Tableheading-rightaligned"/>
            </w:pPr>
          </w:p>
        </w:tc>
        <w:tc>
          <w:tcPr>
            <w:tcW w:w="1417" w:type="dxa"/>
            <w:tcBorders>
              <w:top w:val="single" w:sz="4" w:space="0" w:color="auto"/>
              <w:bottom w:val="double" w:sz="4" w:space="0" w:color="auto"/>
            </w:tcBorders>
            <w:vAlign w:val="bottom"/>
          </w:tcPr>
          <w:p w14:paraId="38DE4F61" w14:textId="77777777" w:rsidR="00D11197" w:rsidRPr="005920BA" w:rsidRDefault="00D11197" w:rsidP="005920BA">
            <w:pPr>
              <w:pStyle w:val="Tableheading-rightaligned"/>
            </w:pPr>
          </w:p>
        </w:tc>
        <w:tc>
          <w:tcPr>
            <w:tcW w:w="1418" w:type="dxa"/>
            <w:tcBorders>
              <w:top w:val="single" w:sz="4" w:space="0" w:color="auto"/>
              <w:bottom w:val="double" w:sz="4" w:space="0" w:color="auto"/>
            </w:tcBorders>
            <w:vAlign w:val="bottom"/>
          </w:tcPr>
          <w:p w14:paraId="43981541" w14:textId="77777777" w:rsidR="00D11197" w:rsidRPr="005920BA" w:rsidRDefault="00D11197" w:rsidP="005920BA">
            <w:pPr>
              <w:pStyle w:val="Tableheading-rightaligned"/>
            </w:pPr>
          </w:p>
        </w:tc>
      </w:tr>
      <w:tr w:rsidR="00D11197" w:rsidRPr="00675794" w14:paraId="588DBAE4" w14:textId="77777777" w:rsidTr="005920BA">
        <w:tc>
          <w:tcPr>
            <w:tcW w:w="3402" w:type="dxa"/>
          </w:tcPr>
          <w:p w14:paraId="507019C7" w14:textId="77777777" w:rsidR="00D11197" w:rsidRPr="00D11197" w:rsidRDefault="00D11197" w:rsidP="00D11197">
            <w:pPr>
              <w:pStyle w:val="Tabletext"/>
              <w:rPr>
                <w:rStyle w:val="Bold"/>
              </w:rPr>
            </w:pPr>
            <w:r w:rsidRPr="00675794">
              <w:rPr>
                <w:rStyle w:val="Bold"/>
              </w:rPr>
              <w:t>Total audit hours</w:t>
            </w:r>
          </w:p>
        </w:tc>
        <w:tc>
          <w:tcPr>
            <w:tcW w:w="1417" w:type="dxa"/>
            <w:tcBorders>
              <w:top w:val="double" w:sz="4" w:space="0" w:color="auto"/>
              <w:bottom w:val="single" w:sz="4" w:space="0" w:color="auto"/>
            </w:tcBorders>
            <w:vAlign w:val="bottom"/>
          </w:tcPr>
          <w:p w14:paraId="7799D7C2" w14:textId="77777777" w:rsidR="00D11197" w:rsidRPr="005920BA" w:rsidRDefault="00D11197" w:rsidP="005920BA">
            <w:pPr>
              <w:pStyle w:val="Tableheading-rightaligned"/>
            </w:pPr>
          </w:p>
        </w:tc>
        <w:tc>
          <w:tcPr>
            <w:tcW w:w="1418" w:type="dxa"/>
            <w:tcBorders>
              <w:top w:val="double" w:sz="4" w:space="0" w:color="auto"/>
              <w:bottom w:val="single" w:sz="4" w:space="0" w:color="auto"/>
            </w:tcBorders>
            <w:vAlign w:val="bottom"/>
          </w:tcPr>
          <w:p w14:paraId="63F71FF7" w14:textId="77777777" w:rsidR="00D11197" w:rsidRPr="005920BA" w:rsidRDefault="00D11197" w:rsidP="005920BA">
            <w:pPr>
              <w:pStyle w:val="Tableheading-rightaligned"/>
            </w:pPr>
          </w:p>
        </w:tc>
        <w:tc>
          <w:tcPr>
            <w:tcW w:w="1417" w:type="dxa"/>
            <w:tcBorders>
              <w:top w:val="double" w:sz="4" w:space="0" w:color="auto"/>
              <w:bottom w:val="single" w:sz="4" w:space="0" w:color="auto"/>
            </w:tcBorders>
            <w:vAlign w:val="bottom"/>
          </w:tcPr>
          <w:p w14:paraId="1A92358D" w14:textId="77777777" w:rsidR="00D11197" w:rsidRPr="005920BA" w:rsidRDefault="00D11197" w:rsidP="005920BA">
            <w:pPr>
              <w:pStyle w:val="Tableheading-rightaligned"/>
            </w:pPr>
          </w:p>
        </w:tc>
        <w:tc>
          <w:tcPr>
            <w:tcW w:w="1418" w:type="dxa"/>
            <w:tcBorders>
              <w:top w:val="double" w:sz="4" w:space="0" w:color="auto"/>
              <w:bottom w:val="single" w:sz="4" w:space="0" w:color="auto"/>
            </w:tcBorders>
            <w:vAlign w:val="bottom"/>
          </w:tcPr>
          <w:p w14:paraId="761D2E7F" w14:textId="77777777" w:rsidR="00D11197" w:rsidRPr="005920BA" w:rsidRDefault="00D11197" w:rsidP="005920BA">
            <w:pPr>
              <w:pStyle w:val="Tableheading-rightaligned"/>
            </w:pPr>
          </w:p>
        </w:tc>
      </w:tr>
      <w:tr w:rsidR="00D11197" w:rsidRPr="00675794" w14:paraId="5E300A8B" w14:textId="77777777" w:rsidTr="005920BA">
        <w:tc>
          <w:tcPr>
            <w:tcW w:w="3402" w:type="dxa"/>
          </w:tcPr>
          <w:p w14:paraId="5047A74D" w14:textId="77777777" w:rsidR="00D11197" w:rsidRPr="00D11197" w:rsidRDefault="00D11197" w:rsidP="00D11197">
            <w:pPr>
              <w:pStyle w:val="Tabletext"/>
            </w:pPr>
            <w:r w:rsidRPr="00675794">
              <w:t>Average hourly rate</w:t>
            </w:r>
          </w:p>
        </w:tc>
        <w:tc>
          <w:tcPr>
            <w:tcW w:w="1417" w:type="dxa"/>
            <w:tcBorders>
              <w:top w:val="double" w:sz="4" w:space="0" w:color="auto"/>
              <w:bottom w:val="single" w:sz="4" w:space="0" w:color="auto"/>
            </w:tcBorders>
            <w:vAlign w:val="bottom"/>
          </w:tcPr>
          <w:p w14:paraId="67EA1315" w14:textId="77777777" w:rsidR="00D11197" w:rsidRPr="00675794" w:rsidRDefault="00D11197" w:rsidP="005920BA">
            <w:pPr>
              <w:pStyle w:val="Tabletext-rightaligned"/>
            </w:pPr>
          </w:p>
        </w:tc>
        <w:tc>
          <w:tcPr>
            <w:tcW w:w="1418" w:type="dxa"/>
            <w:tcBorders>
              <w:top w:val="double" w:sz="4" w:space="0" w:color="auto"/>
              <w:bottom w:val="single" w:sz="4" w:space="0" w:color="auto"/>
            </w:tcBorders>
            <w:vAlign w:val="bottom"/>
          </w:tcPr>
          <w:p w14:paraId="19EAEBDE" w14:textId="77777777" w:rsidR="00D11197" w:rsidRPr="00675794" w:rsidRDefault="00D11197" w:rsidP="005920BA">
            <w:pPr>
              <w:pStyle w:val="Tabletext-rightaligned"/>
            </w:pPr>
          </w:p>
        </w:tc>
        <w:tc>
          <w:tcPr>
            <w:tcW w:w="1417" w:type="dxa"/>
            <w:tcBorders>
              <w:top w:val="double" w:sz="4" w:space="0" w:color="auto"/>
              <w:bottom w:val="single" w:sz="4" w:space="0" w:color="auto"/>
            </w:tcBorders>
            <w:vAlign w:val="bottom"/>
          </w:tcPr>
          <w:p w14:paraId="646751F4" w14:textId="77777777" w:rsidR="00D11197" w:rsidRPr="00675794" w:rsidRDefault="00D11197" w:rsidP="005920BA">
            <w:pPr>
              <w:pStyle w:val="Tabletext-rightaligned"/>
            </w:pPr>
          </w:p>
        </w:tc>
        <w:tc>
          <w:tcPr>
            <w:tcW w:w="1418" w:type="dxa"/>
            <w:tcBorders>
              <w:top w:val="double" w:sz="4" w:space="0" w:color="auto"/>
              <w:bottom w:val="single" w:sz="4" w:space="0" w:color="auto"/>
            </w:tcBorders>
            <w:vAlign w:val="bottom"/>
          </w:tcPr>
          <w:p w14:paraId="6ABFE138" w14:textId="77777777" w:rsidR="00D11197" w:rsidRPr="00675794" w:rsidRDefault="00D11197" w:rsidP="005920BA">
            <w:pPr>
              <w:pStyle w:val="Tabletext-rightaligned"/>
            </w:pPr>
          </w:p>
        </w:tc>
      </w:tr>
    </w:tbl>
    <w:p w14:paraId="7411513B" w14:textId="77777777" w:rsidR="00D11197" w:rsidRPr="00675794" w:rsidRDefault="00D11197" w:rsidP="00D11197">
      <w:pPr>
        <w:pStyle w:val="SingleLineText-Half"/>
      </w:pPr>
    </w:p>
    <w:p w14:paraId="5766435C" w14:textId="668B7BA2" w:rsidR="00D11197" w:rsidRPr="00675794" w:rsidRDefault="00D11197" w:rsidP="00D11197">
      <w:pPr>
        <w:pStyle w:val="BodyText"/>
      </w:pPr>
      <w:r w:rsidRPr="00675794">
        <w:t>[</w:t>
      </w:r>
      <w:r w:rsidRPr="00675794">
        <w:rPr>
          <w:rStyle w:val="Italic"/>
        </w:rPr>
        <w:t>Include a brief explanation of the reasons for any large movements in the audit fee or the audit hours</w:t>
      </w:r>
      <w:r w:rsidRPr="00675794">
        <w:t>].</w:t>
      </w:r>
    </w:p>
    <w:p w14:paraId="0933153D" w14:textId="77777777" w:rsidR="00D11197" w:rsidRPr="00D11197" w:rsidRDefault="00D11197" w:rsidP="00D11197">
      <w:pPr>
        <w:pStyle w:val="Heading1-NumberedRED"/>
      </w:pPr>
      <w:bookmarkStart w:id="463" w:name="_Toc461177102"/>
      <w:bookmarkStart w:id="464" w:name="_Toc461177295"/>
      <w:bookmarkStart w:id="465" w:name="_Toc461177314"/>
      <w:bookmarkStart w:id="466" w:name="_Toc461179131"/>
      <w:bookmarkStart w:id="467" w:name="_Toc461177103"/>
      <w:bookmarkStart w:id="468" w:name="_Toc14249450"/>
      <w:bookmarkEnd w:id="463"/>
      <w:bookmarkEnd w:id="464"/>
      <w:bookmarkEnd w:id="465"/>
      <w:bookmarkEnd w:id="466"/>
      <w:r w:rsidRPr="00675794">
        <w:t>ENGAGEMENT</w:t>
      </w:r>
      <w:r w:rsidRPr="00D11197">
        <w:t xml:space="preserve"> TEAM</w:t>
      </w:r>
      <w:bookmarkEnd w:id="461"/>
      <w:bookmarkEnd w:id="462"/>
      <w:bookmarkEnd w:id="467"/>
      <w:bookmarkEnd w:id="468"/>
    </w:p>
    <w:p w14:paraId="07C27F75" w14:textId="77777777" w:rsidR="00D11197" w:rsidRPr="00675794" w:rsidRDefault="00D11197" w:rsidP="00D11197">
      <w:pPr>
        <w:pStyle w:val="Heading2"/>
      </w:pPr>
      <w:r w:rsidRPr="00675794">
        <w:t>Engagement team</w:t>
      </w:r>
    </w:p>
    <w:p w14:paraId="4BA06B1E" w14:textId="77777777" w:rsidR="00D11197" w:rsidRPr="00675794" w:rsidRDefault="00D11197" w:rsidP="00D11197">
      <w:pPr>
        <w:pStyle w:val="BodyText"/>
      </w:pPr>
      <w:r w:rsidRPr="00675794">
        <w:t>The proposed audit team for this engagement is:</w:t>
      </w:r>
    </w:p>
    <w:tbl>
      <w:tblPr>
        <w:tblW w:w="9070" w:type="dxa"/>
        <w:tblLayout w:type="fixed"/>
        <w:tblLook w:val="0000" w:firstRow="0" w:lastRow="0" w:firstColumn="0" w:lastColumn="0" w:noHBand="0" w:noVBand="0"/>
      </w:tblPr>
      <w:tblGrid>
        <w:gridCol w:w="4535"/>
        <w:gridCol w:w="4535"/>
      </w:tblGrid>
      <w:tr w:rsidR="00D11197" w:rsidRPr="00675794" w14:paraId="3DAEEF5A" w14:textId="77777777" w:rsidTr="005920BA">
        <w:tc>
          <w:tcPr>
            <w:tcW w:w="4535" w:type="dxa"/>
          </w:tcPr>
          <w:p w14:paraId="643A3FE7" w14:textId="77777777" w:rsidR="00D11197" w:rsidRPr="00D11197" w:rsidRDefault="00D11197" w:rsidP="00D11197">
            <w:pPr>
              <w:pStyle w:val="Tabletext"/>
            </w:pPr>
            <w:r w:rsidRPr="00675794">
              <w:t>Engagement Controller:</w:t>
            </w:r>
          </w:p>
        </w:tc>
        <w:tc>
          <w:tcPr>
            <w:tcW w:w="4535" w:type="dxa"/>
          </w:tcPr>
          <w:p w14:paraId="29B2713D" w14:textId="5E5B0344" w:rsidR="00D11197" w:rsidRPr="00D11197" w:rsidRDefault="00D11197" w:rsidP="00D11197">
            <w:pPr>
              <w:pStyle w:val="Tabletext"/>
            </w:pPr>
            <w:r w:rsidRPr="00675794">
              <w:t>[</w:t>
            </w:r>
            <w:r w:rsidRPr="00D11197">
              <w:rPr>
                <w:rStyle w:val="Italic"/>
              </w:rPr>
              <w:t>Name, Qualifications</w:t>
            </w:r>
            <w:r w:rsidRPr="00D11197">
              <w:t>]</w:t>
            </w:r>
          </w:p>
        </w:tc>
      </w:tr>
      <w:tr w:rsidR="00D11197" w:rsidRPr="00675794" w14:paraId="1B30D7C8" w14:textId="77777777" w:rsidTr="005920BA">
        <w:tc>
          <w:tcPr>
            <w:tcW w:w="4535" w:type="dxa"/>
          </w:tcPr>
          <w:p w14:paraId="7B212064" w14:textId="77777777" w:rsidR="00D11197" w:rsidRPr="00675794" w:rsidRDefault="00D11197" w:rsidP="00D11197">
            <w:pPr>
              <w:pStyle w:val="Tabletext"/>
            </w:pPr>
          </w:p>
        </w:tc>
        <w:tc>
          <w:tcPr>
            <w:tcW w:w="4535" w:type="dxa"/>
          </w:tcPr>
          <w:p w14:paraId="40E48E38" w14:textId="77777777" w:rsidR="00D11197" w:rsidRPr="00D11197" w:rsidRDefault="00D11197" w:rsidP="00D11197">
            <w:pPr>
              <w:pStyle w:val="Tabletext"/>
            </w:pPr>
            <w:r w:rsidRPr="00675794">
              <w:t>[</w:t>
            </w:r>
            <w:r w:rsidRPr="00D11197">
              <w:rPr>
                <w:rStyle w:val="Italic"/>
              </w:rPr>
              <w:t>Title</w:t>
            </w:r>
            <w:r w:rsidRPr="00D11197">
              <w:t>]</w:t>
            </w:r>
          </w:p>
        </w:tc>
      </w:tr>
      <w:tr w:rsidR="00D11197" w:rsidRPr="00675794" w14:paraId="38F22240" w14:textId="77777777" w:rsidTr="005920BA">
        <w:tc>
          <w:tcPr>
            <w:tcW w:w="4535" w:type="dxa"/>
          </w:tcPr>
          <w:p w14:paraId="3BD2DA8A" w14:textId="77777777" w:rsidR="00D11197" w:rsidRPr="00675794" w:rsidRDefault="00D11197" w:rsidP="00D11197">
            <w:pPr>
              <w:pStyle w:val="Tabletext"/>
            </w:pPr>
          </w:p>
        </w:tc>
        <w:tc>
          <w:tcPr>
            <w:tcW w:w="4535" w:type="dxa"/>
          </w:tcPr>
          <w:p w14:paraId="2316B388" w14:textId="65463986" w:rsidR="00D11197" w:rsidRPr="00D11197" w:rsidRDefault="00D11197" w:rsidP="00D11197">
            <w:pPr>
              <w:pStyle w:val="Tabletext"/>
            </w:pPr>
            <w:r w:rsidRPr="00675794">
              <w:t xml:space="preserve">02 </w:t>
            </w:r>
            <w:r w:rsidR="00F95062">
              <w:t>9275 </w:t>
            </w:r>
            <w:r w:rsidRPr="00D11197">
              <w:t>[</w:t>
            </w:r>
            <w:r w:rsidRPr="00D11197">
              <w:rPr>
                <w:rStyle w:val="Italic"/>
              </w:rPr>
              <w:t>xxxx</w:t>
            </w:r>
            <w:r w:rsidRPr="00D11197">
              <w:t>]</w:t>
            </w:r>
          </w:p>
        </w:tc>
      </w:tr>
      <w:tr w:rsidR="00D11197" w:rsidRPr="00675794" w14:paraId="444CF840" w14:textId="77777777" w:rsidTr="005920BA">
        <w:tc>
          <w:tcPr>
            <w:tcW w:w="4535" w:type="dxa"/>
          </w:tcPr>
          <w:p w14:paraId="3C18D3C8" w14:textId="77777777" w:rsidR="00D11197" w:rsidRPr="00675794" w:rsidRDefault="00D11197" w:rsidP="00D11197">
            <w:pPr>
              <w:pStyle w:val="Tabletext"/>
            </w:pPr>
          </w:p>
        </w:tc>
        <w:tc>
          <w:tcPr>
            <w:tcW w:w="4535" w:type="dxa"/>
          </w:tcPr>
          <w:p w14:paraId="1F817407" w14:textId="77777777" w:rsidR="00D11197" w:rsidRPr="00D11197" w:rsidRDefault="00D11197" w:rsidP="00D11197">
            <w:pPr>
              <w:pStyle w:val="Tabletext"/>
            </w:pPr>
            <w:r w:rsidRPr="00675794">
              <w:t>Email:</w:t>
            </w:r>
          </w:p>
        </w:tc>
      </w:tr>
      <w:tr w:rsidR="00D11197" w:rsidRPr="00675794" w14:paraId="646D2E71" w14:textId="77777777" w:rsidTr="005920BA">
        <w:tc>
          <w:tcPr>
            <w:tcW w:w="4535" w:type="dxa"/>
          </w:tcPr>
          <w:p w14:paraId="57DC8292" w14:textId="77777777" w:rsidR="00D11197" w:rsidRPr="00675794" w:rsidRDefault="00D11197" w:rsidP="00D11197">
            <w:pPr>
              <w:pStyle w:val="SingleLineText-Half"/>
            </w:pPr>
          </w:p>
        </w:tc>
        <w:tc>
          <w:tcPr>
            <w:tcW w:w="4535" w:type="dxa"/>
          </w:tcPr>
          <w:p w14:paraId="4189F447" w14:textId="77777777" w:rsidR="00D11197" w:rsidRPr="00675794" w:rsidRDefault="00D11197" w:rsidP="00D11197">
            <w:pPr>
              <w:pStyle w:val="SingleLineText-Half"/>
            </w:pPr>
          </w:p>
        </w:tc>
      </w:tr>
      <w:tr w:rsidR="00D11197" w:rsidRPr="00675794" w14:paraId="13150671" w14:textId="77777777" w:rsidTr="005920BA">
        <w:tc>
          <w:tcPr>
            <w:tcW w:w="4535" w:type="dxa"/>
          </w:tcPr>
          <w:p w14:paraId="4B9B9F69" w14:textId="77777777" w:rsidR="00D11197" w:rsidRPr="00D11197" w:rsidRDefault="00D11197" w:rsidP="00D11197">
            <w:pPr>
              <w:pStyle w:val="Tabletext"/>
            </w:pPr>
            <w:r w:rsidRPr="00675794">
              <w:t>Engagement Manager:</w:t>
            </w:r>
          </w:p>
        </w:tc>
        <w:tc>
          <w:tcPr>
            <w:tcW w:w="4535" w:type="dxa"/>
          </w:tcPr>
          <w:p w14:paraId="2C3F4A60" w14:textId="5219B2CE" w:rsidR="00D11197" w:rsidRPr="00D11197" w:rsidRDefault="00D11197" w:rsidP="00D11197">
            <w:pPr>
              <w:pStyle w:val="Tabletext"/>
            </w:pPr>
            <w:r w:rsidRPr="00675794">
              <w:t>[</w:t>
            </w:r>
            <w:r w:rsidRPr="00D11197">
              <w:rPr>
                <w:rStyle w:val="Italic"/>
              </w:rPr>
              <w:t>Name, Qualifications</w:t>
            </w:r>
            <w:r w:rsidRPr="00D11197">
              <w:t>]</w:t>
            </w:r>
          </w:p>
        </w:tc>
      </w:tr>
      <w:tr w:rsidR="00D11197" w:rsidRPr="00675794" w14:paraId="6DD54B7A" w14:textId="77777777" w:rsidTr="005920BA">
        <w:tc>
          <w:tcPr>
            <w:tcW w:w="4535" w:type="dxa"/>
          </w:tcPr>
          <w:p w14:paraId="28A4CE0E" w14:textId="77777777" w:rsidR="00D11197" w:rsidRPr="00675794" w:rsidRDefault="00D11197" w:rsidP="00D11197">
            <w:pPr>
              <w:pStyle w:val="Tabletext"/>
            </w:pPr>
          </w:p>
        </w:tc>
        <w:tc>
          <w:tcPr>
            <w:tcW w:w="4535" w:type="dxa"/>
          </w:tcPr>
          <w:p w14:paraId="5581C0FB" w14:textId="77777777" w:rsidR="00D11197" w:rsidRPr="00D11197" w:rsidRDefault="00D11197" w:rsidP="00D11197">
            <w:pPr>
              <w:pStyle w:val="Tabletext"/>
            </w:pPr>
            <w:r w:rsidRPr="00675794">
              <w:t>[</w:t>
            </w:r>
            <w:r w:rsidRPr="00D11197">
              <w:rPr>
                <w:rStyle w:val="Italic"/>
              </w:rPr>
              <w:t>Title</w:t>
            </w:r>
            <w:r w:rsidRPr="00D11197">
              <w:t>]</w:t>
            </w:r>
          </w:p>
        </w:tc>
      </w:tr>
      <w:tr w:rsidR="00D11197" w:rsidRPr="00675794" w14:paraId="34AA65F2" w14:textId="77777777" w:rsidTr="005920BA">
        <w:tc>
          <w:tcPr>
            <w:tcW w:w="4535" w:type="dxa"/>
          </w:tcPr>
          <w:p w14:paraId="2ABD6F8C" w14:textId="77777777" w:rsidR="00D11197" w:rsidRPr="00675794" w:rsidRDefault="00D11197" w:rsidP="00D11197">
            <w:pPr>
              <w:pStyle w:val="Tabletext"/>
            </w:pPr>
          </w:p>
        </w:tc>
        <w:tc>
          <w:tcPr>
            <w:tcW w:w="4535" w:type="dxa"/>
          </w:tcPr>
          <w:p w14:paraId="406D1AD0" w14:textId="330682FF" w:rsidR="00D11197" w:rsidRPr="00D11197" w:rsidRDefault="00D11197" w:rsidP="00D11197">
            <w:pPr>
              <w:pStyle w:val="Tabletext"/>
            </w:pPr>
            <w:r w:rsidRPr="00675794">
              <w:t xml:space="preserve">02 </w:t>
            </w:r>
            <w:r w:rsidR="00F95062">
              <w:t>9275 </w:t>
            </w:r>
            <w:r w:rsidRPr="00D11197">
              <w:t>[</w:t>
            </w:r>
            <w:r w:rsidRPr="00D11197">
              <w:rPr>
                <w:rStyle w:val="Italic"/>
              </w:rPr>
              <w:t>xxxx</w:t>
            </w:r>
            <w:r w:rsidRPr="00D11197">
              <w:t>]</w:t>
            </w:r>
          </w:p>
        </w:tc>
      </w:tr>
      <w:tr w:rsidR="00D11197" w:rsidRPr="00675794" w14:paraId="483A095E" w14:textId="77777777" w:rsidTr="005920BA">
        <w:tc>
          <w:tcPr>
            <w:tcW w:w="4535" w:type="dxa"/>
          </w:tcPr>
          <w:p w14:paraId="0815BA3A" w14:textId="77777777" w:rsidR="00D11197" w:rsidRPr="00675794" w:rsidRDefault="00D11197" w:rsidP="00D11197">
            <w:pPr>
              <w:pStyle w:val="Tabletext"/>
            </w:pPr>
          </w:p>
        </w:tc>
        <w:tc>
          <w:tcPr>
            <w:tcW w:w="4535" w:type="dxa"/>
          </w:tcPr>
          <w:p w14:paraId="4495F738" w14:textId="77777777" w:rsidR="00D11197" w:rsidRPr="00D11197" w:rsidRDefault="00D11197" w:rsidP="00D11197">
            <w:pPr>
              <w:pStyle w:val="Tabletext"/>
            </w:pPr>
            <w:r w:rsidRPr="00675794">
              <w:t>Email:</w:t>
            </w:r>
          </w:p>
        </w:tc>
      </w:tr>
      <w:tr w:rsidR="00D11197" w:rsidRPr="00675794" w14:paraId="681C7D63" w14:textId="77777777" w:rsidTr="005920BA">
        <w:tc>
          <w:tcPr>
            <w:tcW w:w="4535" w:type="dxa"/>
          </w:tcPr>
          <w:p w14:paraId="758635CF" w14:textId="77777777" w:rsidR="00D11197" w:rsidRPr="00675794" w:rsidRDefault="00D11197" w:rsidP="00D11197">
            <w:pPr>
              <w:pStyle w:val="SingleLineText-Half"/>
            </w:pPr>
          </w:p>
        </w:tc>
        <w:tc>
          <w:tcPr>
            <w:tcW w:w="4535" w:type="dxa"/>
          </w:tcPr>
          <w:p w14:paraId="38CB3E29" w14:textId="77777777" w:rsidR="00D11197" w:rsidRPr="00675794" w:rsidRDefault="00D11197" w:rsidP="00D11197">
            <w:pPr>
              <w:pStyle w:val="SingleLineText-Half"/>
            </w:pPr>
          </w:p>
        </w:tc>
      </w:tr>
      <w:tr w:rsidR="00D11197" w:rsidRPr="00675794" w14:paraId="1A2BFF67" w14:textId="77777777" w:rsidTr="005920BA">
        <w:tc>
          <w:tcPr>
            <w:tcW w:w="4535" w:type="dxa"/>
          </w:tcPr>
          <w:p w14:paraId="28033EA5" w14:textId="77777777" w:rsidR="00D11197" w:rsidRPr="00D11197" w:rsidRDefault="00D11197" w:rsidP="00D11197">
            <w:pPr>
              <w:pStyle w:val="Tabletext"/>
            </w:pPr>
            <w:r w:rsidRPr="00675794">
              <w:t>Director, IS Audit:</w:t>
            </w:r>
          </w:p>
        </w:tc>
        <w:tc>
          <w:tcPr>
            <w:tcW w:w="4535" w:type="dxa"/>
          </w:tcPr>
          <w:p w14:paraId="1F870733" w14:textId="1BDC3E91" w:rsidR="00D11197" w:rsidRPr="00D11197" w:rsidRDefault="00D11197" w:rsidP="00D11197">
            <w:pPr>
              <w:pStyle w:val="Tabletext"/>
            </w:pPr>
            <w:r w:rsidRPr="00675794">
              <w:t>[</w:t>
            </w:r>
            <w:r w:rsidRPr="00D11197">
              <w:rPr>
                <w:rStyle w:val="Italic"/>
              </w:rPr>
              <w:t>Name, Qualifications</w:t>
            </w:r>
            <w:r w:rsidRPr="00D11197">
              <w:t>]</w:t>
            </w:r>
          </w:p>
        </w:tc>
      </w:tr>
      <w:tr w:rsidR="00D11197" w:rsidRPr="00675794" w14:paraId="2A2F2F78" w14:textId="77777777" w:rsidTr="005920BA">
        <w:tc>
          <w:tcPr>
            <w:tcW w:w="4535" w:type="dxa"/>
          </w:tcPr>
          <w:p w14:paraId="24F1DE06" w14:textId="77777777" w:rsidR="00D11197" w:rsidRPr="00675794" w:rsidRDefault="00D11197" w:rsidP="00D11197">
            <w:pPr>
              <w:pStyle w:val="Tabletext"/>
            </w:pPr>
          </w:p>
        </w:tc>
        <w:tc>
          <w:tcPr>
            <w:tcW w:w="4535" w:type="dxa"/>
          </w:tcPr>
          <w:p w14:paraId="6DDF4A38" w14:textId="77777777" w:rsidR="00D11197" w:rsidRPr="00D11197" w:rsidRDefault="00D11197" w:rsidP="00D11197">
            <w:pPr>
              <w:pStyle w:val="Tabletext"/>
            </w:pPr>
            <w:r w:rsidRPr="00675794">
              <w:t>[</w:t>
            </w:r>
            <w:r w:rsidRPr="00D11197">
              <w:rPr>
                <w:rStyle w:val="Italic"/>
              </w:rPr>
              <w:t>Title</w:t>
            </w:r>
            <w:r w:rsidRPr="00D11197">
              <w:t>]</w:t>
            </w:r>
          </w:p>
        </w:tc>
      </w:tr>
      <w:tr w:rsidR="00D11197" w:rsidRPr="00675794" w14:paraId="4410E7EC" w14:textId="77777777" w:rsidTr="005920BA">
        <w:tc>
          <w:tcPr>
            <w:tcW w:w="4535" w:type="dxa"/>
          </w:tcPr>
          <w:p w14:paraId="6F3CE270" w14:textId="77777777" w:rsidR="00D11197" w:rsidRPr="00D11197" w:rsidRDefault="00D11197" w:rsidP="00D11197">
            <w:pPr>
              <w:pStyle w:val="Tabletext"/>
            </w:pPr>
            <w:r w:rsidRPr="00675794">
              <w:t>[</w:t>
            </w:r>
            <w:r w:rsidRPr="00D11197">
              <w:rPr>
                <w:rStyle w:val="Italic"/>
              </w:rPr>
              <w:t>where applicable</w:t>
            </w:r>
            <w:r w:rsidRPr="00D11197">
              <w:t>]</w:t>
            </w:r>
          </w:p>
        </w:tc>
        <w:tc>
          <w:tcPr>
            <w:tcW w:w="4535" w:type="dxa"/>
          </w:tcPr>
          <w:p w14:paraId="0DC7C658" w14:textId="4E11540C" w:rsidR="00D11197" w:rsidRPr="00D11197" w:rsidRDefault="00D11197" w:rsidP="00D11197">
            <w:pPr>
              <w:pStyle w:val="Tabletext"/>
            </w:pPr>
            <w:r w:rsidRPr="00675794">
              <w:t xml:space="preserve">02 </w:t>
            </w:r>
            <w:r w:rsidR="00F95062">
              <w:t>9275 </w:t>
            </w:r>
            <w:r w:rsidRPr="00D11197">
              <w:t>[</w:t>
            </w:r>
            <w:r w:rsidRPr="00D11197">
              <w:rPr>
                <w:rStyle w:val="Italic"/>
              </w:rPr>
              <w:t>xxxx</w:t>
            </w:r>
            <w:r w:rsidRPr="00D11197">
              <w:t>]</w:t>
            </w:r>
          </w:p>
        </w:tc>
      </w:tr>
      <w:tr w:rsidR="00D11197" w:rsidRPr="00675794" w14:paraId="24865FA9" w14:textId="77777777" w:rsidTr="005920BA">
        <w:tc>
          <w:tcPr>
            <w:tcW w:w="4535" w:type="dxa"/>
          </w:tcPr>
          <w:p w14:paraId="579E2D49" w14:textId="77777777" w:rsidR="00D11197" w:rsidRPr="00675794" w:rsidRDefault="00D11197" w:rsidP="00D11197">
            <w:pPr>
              <w:pStyle w:val="Tabletext"/>
            </w:pPr>
          </w:p>
        </w:tc>
        <w:tc>
          <w:tcPr>
            <w:tcW w:w="4535" w:type="dxa"/>
          </w:tcPr>
          <w:p w14:paraId="6A3C4094" w14:textId="77777777" w:rsidR="00D11197" w:rsidRPr="00D11197" w:rsidRDefault="00D11197" w:rsidP="00D11197">
            <w:pPr>
              <w:pStyle w:val="Tabletext"/>
            </w:pPr>
            <w:r w:rsidRPr="00675794">
              <w:t>Email:</w:t>
            </w:r>
          </w:p>
        </w:tc>
      </w:tr>
    </w:tbl>
    <w:p w14:paraId="11522EB1" w14:textId="77777777" w:rsidR="00D11197" w:rsidRPr="00675794" w:rsidRDefault="00D11197" w:rsidP="00D11197">
      <w:pPr>
        <w:pStyle w:val="SingleLineText-Half"/>
      </w:pPr>
    </w:p>
    <w:p w14:paraId="18D5F879" w14:textId="09D22FE6" w:rsidR="00D11197" w:rsidRPr="00675794" w:rsidRDefault="00D11197" w:rsidP="00D11197">
      <w:pPr>
        <w:pStyle w:val="Heading2"/>
      </w:pPr>
      <w:r w:rsidRPr="00675794">
        <w:t>Involvement of other members in public practice (optional)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D11197" w:rsidRPr="00C66127" w14:paraId="0834B671" w14:textId="77777777" w:rsidTr="00C60F3E">
        <w:trPr>
          <w:trHeight w:val="377"/>
        </w:trPr>
        <w:tc>
          <w:tcPr>
            <w:tcW w:w="5000" w:type="pct"/>
            <w:shd w:val="clear" w:color="auto" w:fill="D9D9D9" w:themeFill="background1" w:themeFillShade="D9"/>
          </w:tcPr>
          <w:p w14:paraId="63A9E7F6" w14:textId="77777777" w:rsidR="00D11197" w:rsidRPr="00D11197" w:rsidRDefault="00D11197" w:rsidP="00D11197">
            <w:pPr>
              <w:pStyle w:val="Tabletext"/>
              <w:rPr>
                <w:rStyle w:val="Bold"/>
              </w:rPr>
            </w:pPr>
            <w:r w:rsidRPr="00C66127">
              <w:rPr>
                <w:rStyle w:val="Bold"/>
              </w:rPr>
              <w:t xml:space="preserve">Include the following if the work of another auditor is used on some aspect of the engagement. This applies to audits performed by </w:t>
            </w:r>
            <w:r w:rsidRPr="00D11197">
              <w:rPr>
                <w:rStyle w:val="Bold"/>
              </w:rPr>
              <w:t>ASPs and engagements where aspects of audit work are outsourced.</w:t>
            </w:r>
          </w:p>
        </w:tc>
      </w:tr>
    </w:tbl>
    <w:p w14:paraId="6947BA01" w14:textId="77777777" w:rsidR="00D11197" w:rsidRPr="00675794" w:rsidRDefault="00D11197" w:rsidP="00D11197">
      <w:pPr>
        <w:pStyle w:val="BodyText"/>
      </w:pPr>
    </w:p>
    <w:tbl>
      <w:tblPr>
        <w:tblW w:w="9070" w:type="dxa"/>
        <w:tblLayout w:type="fixed"/>
        <w:tblLook w:val="0000" w:firstRow="0" w:lastRow="0" w:firstColumn="0" w:lastColumn="0" w:noHBand="0" w:noVBand="0"/>
      </w:tblPr>
      <w:tblGrid>
        <w:gridCol w:w="4535"/>
        <w:gridCol w:w="4535"/>
      </w:tblGrid>
      <w:tr w:rsidR="00D11197" w:rsidRPr="00675794" w14:paraId="575334BF" w14:textId="77777777" w:rsidTr="005920BA">
        <w:tc>
          <w:tcPr>
            <w:tcW w:w="4535" w:type="dxa"/>
          </w:tcPr>
          <w:p w14:paraId="7FB7B7F6" w14:textId="77777777" w:rsidR="00D11197" w:rsidRPr="00D11197" w:rsidRDefault="00D11197" w:rsidP="00D11197">
            <w:pPr>
              <w:pStyle w:val="Tabletext"/>
            </w:pPr>
            <w:r>
              <w:t>Audit Service Provider Engagement Partner</w:t>
            </w:r>
            <w:r w:rsidRPr="00D11197">
              <w:t>:</w:t>
            </w:r>
          </w:p>
        </w:tc>
        <w:tc>
          <w:tcPr>
            <w:tcW w:w="4535" w:type="dxa"/>
          </w:tcPr>
          <w:p w14:paraId="46196562" w14:textId="5F842E5E" w:rsidR="00D11197" w:rsidRPr="00D11197" w:rsidRDefault="00D11197" w:rsidP="00D11197">
            <w:pPr>
              <w:pStyle w:val="Tabletext"/>
            </w:pPr>
            <w:r w:rsidRPr="00675794">
              <w:t>[</w:t>
            </w:r>
            <w:r w:rsidRPr="00D11197">
              <w:rPr>
                <w:rStyle w:val="Italic"/>
              </w:rPr>
              <w:t>Name, Qualifications</w:t>
            </w:r>
            <w:r w:rsidRPr="00D11197">
              <w:t>]</w:t>
            </w:r>
          </w:p>
        </w:tc>
      </w:tr>
      <w:tr w:rsidR="00D11197" w:rsidRPr="00675794" w14:paraId="0CF0D866" w14:textId="77777777" w:rsidTr="005920BA">
        <w:tc>
          <w:tcPr>
            <w:tcW w:w="4535" w:type="dxa"/>
          </w:tcPr>
          <w:p w14:paraId="2E1B5C8E" w14:textId="77777777" w:rsidR="00D11197" w:rsidRPr="00675794" w:rsidRDefault="00D11197" w:rsidP="00D11197">
            <w:pPr>
              <w:pStyle w:val="Tabletext"/>
            </w:pPr>
          </w:p>
        </w:tc>
        <w:tc>
          <w:tcPr>
            <w:tcW w:w="4535" w:type="dxa"/>
          </w:tcPr>
          <w:p w14:paraId="6ABA6CE7" w14:textId="77777777" w:rsidR="00D11197" w:rsidRPr="00D11197" w:rsidRDefault="00D11197" w:rsidP="00D11197">
            <w:pPr>
              <w:pStyle w:val="Tabletext"/>
            </w:pPr>
            <w:r w:rsidRPr="00675794">
              <w:t>[</w:t>
            </w:r>
            <w:r w:rsidRPr="00D11197">
              <w:rPr>
                <w:rStyle w:val="Italic"/>
              </w:rPr>
              <w:t>Title</w:t>
            </w:r>
            <w:r w:rsidRPr="00D11197">
              <w:t>]</w:t>
            </w:r>
          </w:p>
        </w:tc>
      </w:tr>
      <w:tr w:rsidR="00D11197" w:rsidRPr="00675794" w14:paraId="30FB818B" w14:textId="77777777" w:rsidTr="005920BA">
        <w:tc>
          <w:tcPr>
            <w:tcW w:w="4535" w:type="dxa"/>
          </w:tcPr>
          <w:p w14:paraId="0EAA8BE9" w14:textId="77777777" w:rsidR="00D11197" w:rsidRPr="00675794" w:rsidRDefault="00D11197" w:rsidP="00D11197">
            <w:pPr>
              <w:pStyle w:val="Tabletext"/>
            </w:pPr>
          </w:p>
        </w:tc>
        <w:tc>
          <w:tcPr>
            <w:tcW w:w="4535" w:type="dxa"/>
          </w:tcPr>
          <w:p w14:paraId="3FC62EBB" w14:textId="77777777" w:rsidR="00D11197" w:rsidRPr="00D11197" w:rsidRDefault="00D11197" w:rsidP="00D11197">
            <w:pPr>
              <w:pStyle w:val="Tabletext"/>
            </w:pPr>
            <w:r>
              <w:t>[</w:t>
            </w:r>
            <w:r w:rsidRPr="005920BA">
              <w:rPr>
                <w:i/>
              </w:rPr>
              <w:t>xx</w:t>
            </w:r>
            <w:r>
              <w:t>]</w:t>
            </w:r>
            <w:r w:rsidRPr="00D11197">
              <w:t xml:space="preserve"> [</w:t>
            </w:r>
            <w:r w:rsidRPr="005920BA">
              <w:rPr>
                <w:i/>
              </w:rPr>
              <w:t>xxxx</w:t>
            </w:r>
            <w:r w:rsidRPr="00D11197">
              <w:t>] [</w:t>
            </w:r>
            <w:r w:rsidRPr="00D11197">
              <w:rPr>
                <w:rStyle w:val="Italic"/>
              </w:rPr>
              <w:t>xxxx</w:t>
            </w:r>
            <w:r w:rsidRPr="00D11197">
              <w:t>]</w:t>
            </w:r>
          </w:p>
        </w:tc>
      </w:tr>
      <w:tr w:rsidR="00D11197" w:rsidRPr="00675794" w14:paraId="17CF41B9" w14:textId="77777777" w:rsidTr="005920BA">
        <w:tc>
          <w:tcPr>
            <w:tcW w:w="4535" w:type="dxa"/>
          </w:tcPr>
          <w:p w14:paraId="3BA58185" w14:textId="77777777" w:rsidR="00D11197" w:rsidRPr="00675794" w:rsidRDefault="00D11197" w:rsidP="00D11197">
            <w:pPr>
              <w:pStyle w:val="Tabletext"/>
            </w:pPr>
          </w:p>
        </w:tc>
        <w:tc>
          <w:tcPr>
            <w:tcW w:w="4535" w:type="dxa"/>
          </w:tcPr>
          <w:p w14:paraId="5766A4DB" w14:textId="77777777" w:rsidR="00D11197" w:rsidRPr="00D11197" w:rsidRDefault="00D11197" w:rsidP="00D11197">
            <w:pPr>
              <w:pStyle w:val="Tabletext"/>
            </w:pPr>
            <w:r w:rsidRPr="00675794">
              <w:t>Email:</w:t>
            </w:r>
          </w:p>
        </w:tc>
      </w:tr>
      <w:tr w:rsidR="00D11197" w:rsidRPr="00675794" w14:paraId="2610DEE1" w14:textId="77777777" w:rsidTr="005920BA">
        <w:tc>
          <w:tcPr>
            <w:tcW w:w="4535" w:type="dxa"/>
          </w:tcPr>
          <w:p w14:paraId="051919B9" w14:textId="77777777" w:rsidR="00D11197" w:rsidRPr="00675794" w:rsidRDefault="00D11197" w:rsidP="00D11197">
            <w:pPr>
              <w:pStyle w:val="SingleLineText-Half"/>
            </w:pPr>
          </w:p>
        </w:tc>
        <w:tc>
          <w:tcPr>
            <w:tcW w:w="4535" w:type="dxa"/>
          </w:tcPr>
          <w:p w14:paraId="2EFC7492" w14:textId="77777777" w:rsidR="00D11197" w:rsidRPr="00675794" w:rsidRDefault="00D11197" w:rsidP="00D11197">
            <w:pPr>
              <w:pStyle w:val="SingleLineText-Half"/>
            </w:pPr>
          </w:p>
        </w:tc>
      </w:tr>
      <w:tr w:rsidR="00D11197" w:rsidRPr="00675794" w14:paraId="02145E13" w14:textId="77777777" w:rsidTr="005920BA">
        <w:tc>
          <w:tcPr>
            <w:tcW w:w="4535" w:type="dxa"/>
          </w:tcPr>
          <w:p w14:paraId="70432F68" w14:textId="77777777" w:rsidR="00D11197" w:rsidRPr="00D11197" w:rsidRDefault="00D11197" w:rsidP="00D11197">
            <w:pPr>
              <w:pStyle w:val="Tabletext"/>
            </w:pPr>
            <w:r>
              <w:t xml:space="preserve">Audit Service Provider </w:t>
            </w:r>
            <w:r w:rsidRPr="00D11197">
              <w:t>Engagement Manager:</w:t>
            </w:r>
          </w:p>
        </w:tc>
        <w:tc>
          <w:tcPr>
            <w:tcW w:w="4535" w:type="dxa"/>
          </w:tcPr>
          <w:p w14:paraId="5C7EA888" w14:textId="6CF3C59B" w:rsidR="00D11197" w:rsidRPr="00D11197" w:rsidRDefault="00D11197" w:rsidP="00D11197">
            <w:pPr>
              <w:pStyle w:val="Tabletext"/>
            </w:pPr>
            <w:r w:rsidRPr="00675794">
              <w:t>[</w:t>
            </w:r>
            <w:r w:rsidRPr="00D11197">
              <w:rPr>
                <w:rStyle w:val="Italic"/>
              </w:rPr>
              <w:t>Name, Qualifications</w:t>
            </w:r>
            <w:r w:rsidRPr="00D11197">
              <w:t>]</w:t>
            </w:r>
          </w:p>
        </w:tc>
      </w:tr>
      <w:tr w:rsidR="00D11197" w:rsidRPr="00675794" w14:paraId="32C1036D" w14:textId="77777777" w:rsidTr="005920BA">
        <w:tc>
          <w:tcPr>
            <w:tcW w:w="4535" w:type="dxa"/>
          </w:tcPr>
          <w:p w14:paraId="6269AB42" w14:textId="77777777" w:rsidR="00D11197" w:rsidRPr="00675794" w:rsidRDefault="00D11197" w:rsidP="00D11197">
            <w:pPr>
              <w:pStyle w:val="Tabletext"/>
            </w:pPr>
          </w:p>
        </w:tc>
        <w:tc>
          <w:tcPr>
            <w:tcW w:w="4535" w:type="dxa"/>
          </w:tcPr>
          <w:p w14:paraId="0ADBF134" w14:textId="77777777" w:rsidR="00D11197" w:rsidRPr="00D11197" w:rsidRDefault="00D11197" w:rsidP="00D11197">
            <w:pPr>
              <w:pStyle w:val="Tabletext"/>
            </w:pPr>
            <w:r w:rsidRPr="00675794">
              <w:t>[</w:t>
            </w:r>
            <w:r w:rsidRPr="00D11197">
              <w:rPr>
                <w:rStyle w:val="Italic"/>
              </w:rPr>
              <w:t>Title</w:t>
            </w:r>
            <w:r w:rsidRPr="00D11197">
              <w:t>]</w:t>
            </w:r>
          </w:p>
        </w:tc>
      </w:tr>
      <w:tr w:rsidR="00D11197" w:rsidRPr="00675794" w14:paraId="0DB4AEF2" w14:textId="77777777" w:rsidTr="005920BA">
        <w:tc>
          <w:tcPr>
            <w:tcW w:w="4535" w:type="dxa"/>
          </w:tcPr>
          <w:p w14:paraId="31AD3488" w14:textId="77777777" w:rsidR="00D11197" w:rsidRPr="00675794" w:rsidRDefault="00D11197" w:rsidP="00D11197">
            <w:pPr>
              <w:pStyle w:val="Tabletext"/>
            </w:pPr>
          </w:p>
        </w:tc>
        <w:tc>
          <w:tcPr>
            <w:tcW w:w="4535" w:type="dxa"/>
          </w:tcPr>
          <w:p w14:paraId="5CC50744" w14:textId="77777777" w:rsidR="00D11197" w:rsidRPr="00D11197" w:rsidRDefault="00D11197" w:rsidP="00D11197">
            <w:pPr>
              <w:pStyle w:val="Tabletext"/>
            </w:pPr>
            <w:r>
              <w:t>[</w:t>
            </w:r>
            <w:r w:rsidRPr="005920BA">
              <w:rPr>
                <w:i/>
              </w:rPr>
              <w:t>xx</w:t>
            </w:r>
            <w:r>
              <w:t>]</w:t>
            </w:r>
            <w:r w:rsidRPr="00D11197">
              <w:t xml:space="preserve"> [</w:t>
            </w:r>
            <w:r w:rsidRPr="005920BA">
              <w:rPr>
                <w:i/>
              </w:rPr>
              <w:t>xxxx</w:t>
            </w:r>
            <w:r w:rsidRPr="00D11197">
              <w:t>] [</w:t>
            </w:r>
            <w:r w:rsidRPr="00D11197">
              <w:rPr>
                <w:rStyle w:val="Italic"/>
              </w:rPr>
              <w:t>xxxx</w:t>
            </w:r>
            <w:r w:rsidRPr="00D11197">
              <w:t>]</w:t>
            </w:r>
          </w:p>
        </w:tc>
      </w:tr>
      <w:tr w:rsidR="00D11197" w:rsidRPr="00675794" w14:paraId="5327F40D" w14:textId="77777777" w:rsidTr="005920BA">
        <w:tc>
          <w:tcPr>
            <w:tcW w:w="4535" w:type="dxa"/>
          </w:tcPr>
          <w:p w14:paraId="67A83B53" w14:textId="77777777" w:rsidR="00D11197" w:rsidRPr="00675794" w:rsidRDefault="00D11197" w:rsidP="00D11197">
            <w:pPr>
              <w:pStyle w:val="Tabletext"/>
            </w:pPr>
          </w:p>
        </w:tc>
        <w:tc>
          <w:tcPr>
            <w:tcW w:w="4535" w:type="dxa"/>
          </w:tcPr>
          <w:p w14:paraId="3BF8CEF2" w14:textId="77777777" w:rsidR="00D11197" w:rsidRPr="00D11197" w:rsidRDefault="00D11197" w:rsidP="00D11197">
            <w:pPr>
              <w:pStyle w:val="Tabletext"/>
            </w:pPr>
            <w:r w:rsidRPr="00675794">
              <w:t>Email:</w:t>
            </w:r>
          </w:p>
        </w:tc>
      </w:tr>
    </w:tbl>
    <w:p w14:paraId="222853BE" w14:textId="77777777" w:rsidR="00D11197" w:rsidRPr="00675794" w:rsidRDefault="00D11197" w:rsidP="00D11197">
      <w:pPr>
        <w:pStyle w:val="SingleLineText-Half"/>
      </w:pPr>
    </w:p>
    <w:p w14:paraId="0021664F" w14:textId="77777777" w:rsidR="00D11197" w:rsidRPr="00675794" w:rsidRDefault="00D11197" w:rsidP="00D11197">
      <w:pPr>
        <w:pStyle w:val="Heading2"/>
      </w:pPr>
      <w:r w:rsidRPr="00675794">
        <w:t>Auditor independence</w:t>
      </w: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D11197" w:rsidRPr="00675794" w14:paraId="679E26F9" w14:textId="77777777" w:rsidTr="005920BA">
        <w:tc>
          <w:tcPr>
            <w:tcW w:w="5000" w:type="pct"/>
            <w:tcBorders>
              <w:top w:val="single" w:sz="4" w:space="0" w:color="auto"/>
              <w:bottom w:val="single" w:sz="4" w:space="0" w:color="auto"/>
            </w:tcBorders>
            <w:shd w:val="clear" w:color="auto" w:fill="D9D9D9" w:themeFill="background1" w:themeFillShade="D9"/>
          </w:tcPr>
          <w:p w14:paraId="1C5EA6B7" w14:textId="77777777" w:rsidR="00D11197" w:rsidRPr="00D11197" w:rsidRDefault="00D11197" w:rsidP="00D11197">
            <w:pPr>
              <w:pStyle w:val="Tabletext"/>
              <w:rPr>
                <w:rStyle w:val="Bold"/>
              </w:rPr>
            </w:pPr>
            <w:r w:rsidRPr="005A132A">
              <w:rPr>
                <w:rStyle w:val="Bold"/>
              </w:rPr>
              <w:t xml:space="preserve">Where </w:t>
            </w:r>
            <w:r w:rsidRPr="00D11197">
              <w:rPr>
                <w:rStyle w:val="Bold"/>
              </w:rPr>
              <w:t>there is an actual or perceived threat to an auditor’s independence</w:t>
            </w:r>
          </w:p>
          <w:p w14:paraId="762E6EEE" w14:textId="77777777" w:rsidR="00D11197" w:rsidRPr="00D11197" w:rsidRDefault="00D11197" w:rsidP="00D11197">
            <w:pPr>
              <w:pStyle w:val="Tablebullet"/>
              <w:rPr>
                <w:rStyle w:val="Bold"/>
              </w:rPr>
            </w:pPr>
            <w:r w:rsidRPr="007F4EEB">
              <w:rPr>
                <w:rStyle w:val="Bold"/>
              </w:rPr>
              <w:t xml:space="preserve">complete the form ‘Threats, Safeguards and Contravention of Independence’ form (available from </w:t>
            </w:r>
            <w:hyperlink r:id="rId28" w:history="1">
              <w:r w:rsidRPr="005920BA">
                <w:rPr>
                  <w:rStyle w:val="Hyperlink"/>
                  <w:b/>
                </w:rPr>
                <w:t>Alfie</w:t>
              </w:r>
            </w:hyperlink>
            <w:r w:rsidRPr="00D11197">
              <w:rPr>
                <w:rStyle w:val="Bold"/>
              </w:rPr>
              <w:t>)</w:t>
            </w:r>
          </w:p>
          <w:p w14:paraId="6E628E61" w14:textId="5EF0B601" w:rsidR="00D11197" w:rsidRPr="00D11197" w:rsidRDefault="00D11197" w:rsidP="00D11197">
            <w:pPr>
              <w:pStyle w:val="Tablebullet"/>
              <w:rPr>
                <w:rStyle w:val="Bold"/>
              </w:rPr>
            </w:pPr>
            <w:r w:rsidRPr="00206E0E">
              <w:rPr>
                <w:rStyle w:val="Bold"/>
              </w:rPr>
              <w:t xml:space="preserve">communicate this to the auditee by amending the paragraph below. Details of the threat </w:t>
            </w:r>
            <w:r w:rsidRPr="00D11197">
              <w:rPr>
                <w:rStyle w:val="Bold"/>
              </w:rPr>
              <w:t>need to be disclosed, including the steps taken to reduce the threat to an acceptable level.</w:t>
            </w:r>
          </w:p>
          <w:p w14:paraId="55FD0B0F" w14:textId="77777777" w:rsidR="00D11197" w:rsidRPr="004E6427" w:rsidRDefault="00D11197" w:rsidP="00D11197">
            <w:pPr>
              <w:pStyle w:val="SingleLineText-Half"/>
              <w:rPr>
                <w:rStyle w:val="Bold"/>
              </w:rPr>
            </w:pPr>
          </w:p>
        </w:tc>
      </w:tr>
      <w:tr w:rsidR="00D11197" w:rsidRPr="00675794" w14:paraId="1054A5C0" w14:textId="77777777" w:rsidTr="005920BA">
        <w:tc>
          <w:tcPr>
            <w:tcW w:w="5000" w:type="pct"/>
            <w:tcBorders>
              <w:top w:val="single" w:sz="4" w:space="0" w:color="auto"/>
            </w:tcBorders>
            <w:shd w:val="clear" w:color="auto" w:fill="DCE6F2"/>
          </w:tcPr>
          <w:p w14:paraId="394A0735" w14:textId="77777777" w:rsidR="00D11197" w:rsidRPr="00D11197" w:rsidRDefault="00D11197" w:rsidP="00D11197">
            <w:pPr>
              <w:pStyle w:val="Tabletext"/>
              <w:rPr>
                <w:rStyle w:val="Bold"/>
              </w:rPr>
            </w:pPr>
            <w:r>
              <w:rPr>
                <w:rStyle w:val="Bold"/>
              </w:rPr>
              <w:t>Additional instructions for ASPs</w:t>
            </w:r>
          </w:p>
          <w:p w14:paraId="6803538B" w14:textId="77777777" w:rsidR="00D11197" w:rsidRPr="00D11197" w:rsidRDefault="00D11197" w:rsidP="00D11197">
            <w:pPr>
              <w:pStyle w:val="Tabletext"/>
            </w:pPr>
            <w:r w:rsidRPr="00535EF4">
              <w:rPr>
                <w:rStyle w:val="Bold"/>
              </w:rPr>
              <w:t>Include the following for all audits after all known members of the audit team have completed</w:t>
            </w:r>
            <w:r w:rsidRPr="00D11197">
              <w:rPr>
                <w:rStyle w:val="Bold"/>
              </w:rPr>
              <w:t xml:space="preserve"> ‘Schedule IV Declarations of Independence’ of the ‘Agreement to Provide Auditing Services’.</w:t>
            </w:r>
          </w:p>
          <w:p w14:paraId="62A8ECC9" w14:textId="77777777" w:rsidR="00D11197" w:rsidRPr="00D11197" w:rsidRDefault="00D11197" w:rsidP="00D11197">
            <w:pPr>
              <w:pStyle w:val="Tabletext"/>
              <w:rPr>
                <w:rStyle w:val="Bold"/>
              </w:rPr>
            </w:pPr>
            <w:r w:rsidRPr="005A132A">
              <w:rPr>
                <w:rStyle w:val="Bold"/>
              </w:rPr>
              <w:t>Where there is an actual or perceived threat to an auditor’s independence</w:t>
            </w:r>
            <w:r w:rsidRPr="00D11197">
              <w:rPr>
                <w:rStyle w:val="Bold"/>
              </w:rPr>
              <w:t>, the ASP needs to:</w:t>
            </w:r>
          </w:p>
          <w:p w14:paraId="0590CD70" w14:textId="77777777" w:rsidR="00D11197" w:rsidRPr="00D11197" w:rsidRDefault="00D11197" w:rsidP="00D11197">
            <w:pPr>
              <w:pStyle w:val="Tablebullet"/>
              <w:rPr>
                <w:rStyle w:val="Bold"/>
              </w:rPr>
            </w:pPr>
            <w:r>
              <w:rPr>
                <w:rStyle w:val="Bold"/>
              </w:rPr>
              <w:t>i</w:t>
            </w:r>
            <w:r w:rsidRPr="00D11197">
              <w:rPr>
                <w:rStyle w:val="Bold"/>
              </w:rPr>
              <w:t>nform the EC and complete ‘Schedule IV Declarations of Independence’ of the ‘Agreement to Provide Auditing Services (see section 7.9. and 8)</w:t>
            </w:r>
          </w:p>
          <w:p w14:paraId="6E86436B" w14:textId="77777777" w:rsidR="00D11197" w:rsidRDefault="00D11197" w:rsidP="00D11197">
            <w:pPr>
              <w:pStyle w:val="Tablebullet"/>
              <w:rPr>
                <w:rStyle w:val="Bold"/>
              </w:rPr>
            </w:pPr>
            <w:r w:rsidRPr="00206E0E">
              <w:rPr>
                <w:rStyle w:val="Bold"/>
              </w:rPr>
              <w:t xml:space="preserve">communicate this to the </w:t>
            </w:r>
            <w:r w:rsidRPr="00D11197">
              <w:rPr>
                <w:rStyle w:val="Bold"/>
              </w:rPr>
              <w:t>auditee by amending the paragraph below. Details of the threat needs to be disclosed, including the steps taken to reduce the threat to an acceptable level. The EC is required to review this wording.</w:t>
            </w:r>
          </w:p>
          <w:p w14:paraId="1F26032D" w14:textId="4A3BADC5" w:rsidR="0023511A" w:rsidRPr="00D11197" w:rsidRDefault="0023511A" w:rsidP="005920BA">
            <w:pPr>
              <w:pStyle w:val="SingleLineText-Half"/>
              <w:rPr>
                <w:rStyle w:val="Bold"/>
              </w:rPr>
            </w:pPr>
          </w:p>
        </w:tc>
      </w:tr>
    </w:tbl>
    <w:p w14:paraId="1A676668" w14:textId="77777777" w:rsidR="00D11197" w:rsidRPr="00675794" w:rsidRDefault="00D11197" w:rsidP="00D11197">
      <w:pPr>
        <w:pStyle w:val="BodyText"/>
      </w:pPr>
    </w:p>
    <w:p w14:paraId="0BD06B57" w14:textId="79FE2950" w:rsidR="00D11197" w:rsidRPr="00675794" w:rsidRDefault="00D11197" w:rsidP="00D11197">
      <w:pPr>
        <w:pStyle w:val="BodyText"/>
      </w:pPr>
      <w:r>
        <w:t>We</w:t>
      </w:r>
      <w:r w:rsidRPr="00675794">
        <w:t xml:space="preserve"> confirm, to the best of </w:t>
      </w:r>
      <w:r>
        <w:t>our</w:t>
      </w:r>
      <w:r w:rsidRPr="00675794">
        <w:t xml:space="preserve"> knowledge and belief, the proposed audit team meets the independence requirements of the Australian Auditing Standards, [the </w:t>
      </w:r>
      <w:r w:rsidR="00F95062" w:rsidRPr="00F95062">
        <w:rPr>
          <w:rStyle w:val="Italic"/>
        </w:rPr>
        <w:t>Corporations Act 2001</w:t>
      </w:r>
      <w:r w:rsidRPr="00675794">
        <w:t>] and other relevant ethical requirements relating to the audit of the financial statements. In conducting the audit of the financial statements, should any contraventions to independence arise you will be notified of these on a timely basis. [As part of the audit process, you will be provided with a written independence declaration as required by the [</w:t>
      </w:r>
      <w:r w:rsidR="00F95062" w:rsidRPr="00F95062">
        <w:rPr>
          <w:rStyle w:val="Italic"/>
        </w:rPr>
        <w:t>Corporations Act 2001</w:t>
      </w:r>
      <w:r w:rsidRPr="00675794">
        <w:t>/APRA Prudential Standard SPS 510 ‘Governance’/</w:t>
      </w:r>
      <w:r w:rsidR="00F95062" w:rsidRPr="00F95062">
        <w:rPr>
          <w:rStyle w:val="Italic"/>
        </w:rPr>
        <w:t>Australian Charities and Not</w:t>
      </w:r>
      <w:r w:rsidR="00F95062">
        <w:rPr>
          <w:rStyle w:val="Italic"/>
        </w:rPr>
        <w:noBreakHyphen/>
      </w:r>
      <w:r w:rsidR="00F95062" w:rsidRPr="00F95062">
        <w:rPr>
          <w:rStyle w:val="Italic"/>
        </w:rPr>
        <w:t>for</w:t>
      </w:r>
      <w:r w:rsidR="00F95062">
        <w:rPr>
          <w:rStyle w:val="Italic"/>
        </w:rPr>
        <w:noBreakHyphen/>
      </w:r>
      <w:r w:rsidR="00F95062" w:rsidRPr="00F95062">
        <w:rPr>
          <w:rStyle w:val="Italic"/>
        </w:rPr>
        <w:t>Profits Commission Act 2012</w:t>
      </w:r>
      <w:r w:rsidRPr="00675794">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00" w:firstRow="0" w:lastRow="0" w:firstColumn="0" w:lastColumn="0" w:noHBand="0" w:noVBand="0"/>
      </w:tblPr>
      <w:tblGrid>
        <w:gridCol w:w="9070"/>
      </w:tblGrid>
      <w:tr w:rsidR="00D11197" w:rsidRPr="00875887" w14:paraId="42C9A464" w14:textId="77777777" w:rsidTr="00C60F3E">
        <w:tc>
          <w:tcPr>
            <w:tcW w:w="5000" w:type="pct"/>
            <w:shd w:val="clear" w:color="auto" w:fill="D9D9D9" w:themeFill="background1" w:themeFillShade="D9"/>
          </w:tcPr>
          <w:p w14:paraId="55B2ADFD" w14:textId="2683E869" w:rsidR="00D11197" w:rsidRPr="00D11197" w:rsidRDefault="00D11197" w:rsidP="00D11197">
            <w:pPr>
              <w:pStyle w:val="Tabletext"/>
              <w:rPr>
                <w:rStyle w:val="Bold"/>
              </w:rPr>
            </w:pPr>
            <w:r w:rsidRPr="00875887">
              <w:rPr>
                <w:rStyle w:val="Bold"/>
              </w:rPr>
              <w:t xml:space="preserve">Complete the following if the audit is conducted in accordance with the </w:t>
            </w:r>
            <w:r w:rsidR="00F95062" w:rsidRPr="00F95062">
              <w:rPr>
                <w:rStyle w:val="Bold"/>
                <w:i/>
              </w:rPr>
              <w:t>Corporations Act 2001</w:t>
            </w:r>
            <w:r w:rsidRPr="00D11197">
              <w:rPr>
                <w:rStyle w:val="Bold"/>
              </w:rPr>
              <w:t xml:space="preserve"> or is regulated by APRA.</w:t>
            </w:r>
          </w:p>
        </w:tc>
      </w:tr>
    </w:tbl>
    <w:p w14:paraId="4CB4763B" w14:textId="77777777" w:rsidR="00D11197" w:rsidRPr="00675794" w:rsidRDefault="00D11197" w:rsidP="00D11197">
      <w:pPr>
        <w:pStyle w:val="BodyText"/>
      </w:pPr>
    </w:p>
    <w:p w14:paraId="42289079" w14:textId="2D77D1D9" w:rsidR="00D11197" w:rsidRPr="00675794" w:rsidRDefault="00D11197" w:rsidP="00D11197">
      <w:pPr>
        <w:pStyle w:val="BodyText"/>
      </w:pPr>
      <w:r w:rsidRPr="00675794">
        <w:t>The [</w:t>
      </w:r>
      <w:r w:rsidR="00F95062" w:rsidRPr="00F95062">
        <w:rPr>
          <w:rStyle w:val="Italic"/>
        </w:rPr>
        <w:t>Corporations Act 2001</w:t>
      </w:r>
      <w:r w:rsidRPr="00675794">
        <w:t>/APRA Prudential Standard SPS 510 ‘Governance’] and ethical standards have specific restrictions on employment relationships between an auditee and members of its current or previous audit teams. Please discuss the prospective employment of a current or former audit team member with the Audit Office before starting formal employment negotiations with them.</w:t>
      </w:r>
    </w:p>
    <w:p w14:paraId="293B4009" w14:textId="77777777" w:rsidR="00D11197" w:rsidRPr="00D11197" w:rsidRDefault="00D11197" w:rsidP="00D11197">
      <w:pPr>
        <w:pStyle w:val="Heading1-NumberedRED"/>
      </w:pPr>
      <w:bookmarkStart w:id="469" w:name="_Toc14249451"/>
      <w:r w:rsidRPr="00675794">
        <w:t xml:space="preserve">FINANCIAL REPORTING </w:t>
      </w:r>
      <w:r w:rsidRPr="00D11197">
        <w:t>MATTERS</w:t>
      </w:r>
      <w:bookmarkEnd w:id="469"/>
    </w:p>
    <w:p w14:paraId="61145715" w14:textId="77777777" w:rsidR="00D11197" w:rsidRDefault="00B6415A" w:rsidP="00D11197">
      <w:pPr>
        <w:pStyle w:val="BodyText"/>
      </w:pPr>
      <w:hyperlink w:anchor="Appendix_two" w:history="1">
        <w:r w:rsidR="00D11197" w:rsidRPr="00320CE9">
          <w:rPr>
            <w:rStyle w:val="Hyperlink"/>
          </w:rPr>
          <w:t>Appendix two</w:t>
        </w:r>
      </w:hyperlink>
      <w:r w:rsidR="00D11197">
        <w:t xml:space="preserve"> provides an overview of new accounting standards effective for the first time in the current financial year and beyond that are likely to have a significant impact on [</w:t>
      </w:r>
      <w:r w:rsidR="00D11197" w:rsidRPr="004E6427">
        <w:rPr>
          <w:rStyle w:val="Italic"/>
        </w:rPr>
        <w:t>abbreviated name</w:t>
      </w:r>
      <w:r w:rsidR="00D11197">
        <w:t>]’s financial statements. The transition to and implementation of these standards will take a significant amount of time and effort. It is important management assess the impact of these standards on [</w:t>
      </w:r>
      <w:r w:rsidR="00D11197" w:rsidRPr="004E6427">
        <w:rPr>
          <w:rStyle w:val="Italic"/>
        </w:rPr>
        <w:t>abbreviated name</w:t>
      </w:r>
      <w:r w:rsidR="00D11197">
        <w:t>]’s financial statements and adequately plans for their implementation.</w:t>
      </w:r>
    </w:p>
    <w:p w14:paraId="645DBB36" w14:textId="77777777" w:rsidR="00D11197" w:rsidRPr="00D11197" w:rsidRDefault="00D11197" w:rsidP="00D11197">
      <w:pPr>
        <w:pStyle w:val="Heading1-NumberedRED"/>
      </w:pPr>
      <w:bookmarkStart w:id="470" w:name="_Toc535997610"/>
      <w:bookmarkStart w:id="471" w:name="_Toc535997686"/>
      <w:bookmarkStart w:id="472" w:name="_Toc535997613"/>
      <w:bookmarkStart w:id="473" w:name="_Toc535997689"/>
      <w:bookmarkStart w:id="474" w:name="_Toc489278603"/>
      <w:bookmarkStart w:id="475" w:name="_Toc489278754"/>
      <w:bookmarkStart w:id="476" w:name="_Toc489278604"/>
      <w:bookmarkStart w:id="477" w:name="_Toc489278755"/>
      <w:bookmarkStart w:id="478" w:name="_Toc489278605"/>
      <w:bookmarkStart w:id="479" w:name="_Toc489278756"/>
      <w:bookmarkStart w:id="480" w:name="_Toc489278606"/>
      <w:bookmarkStart w:id="481" w:name="_Toc489278757"/>
      <w:bookmarkStart w:id="482" w:name="_Toc489278607"/>
      <w:bookmarkStart w:id="483" w:name="_Toc489278758"/>
      <w:bookmarkStart w:id="484" w:name="_Toc489278608"/>
      <w:bookmarkStart w:id="485" w:name="_Toc489278759"/>
      <w:bookmarkStart w:id="486" w:name="_Toc489278609"/>
      <w:bookmarkStart w:id="487" w:name="_Toc489278760"/>
      <w:bookmarkStart w:id="488" w:name="_Toc489278610"/>
      <w:bookmarkStart w:id="489" w:name="_Toc489278761"/>
      <w:bookmarkStart w:id="490" w:name="_Toc14249452"/>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675794">
        <w:t>REPORT</w:t>
      </w:r>
      <w:r w:rsidRPr="00D11197">
        <w:t>ING TO PARLIAMENT</w:t>
      </w:r>
      <w:bookmarkEnd w:id="490"/>
    </w:p>
    <w:p w14:paraId="7AE3E6BF" w14:textId="77777777" w:rsidR="00D11197" w:rsidRPr="00675794" w:rsidRDefault="00D11197" w:rsidP="00D11197">
      <w:pPr>
        <w:pStyle w:val="BodyText"/>
      </w:pPr>
      <w:bookmarkStart w:id="491" w:name="_Hlk520820115"/>
    </w:p>
    <w:tbl>
      <w:tblPr>
        <w:tblStyle w:val="TableGrid"/>
        <w:tblW w:w="9070" w:type="dxa"/>
        <w:tblLook w:val="04A0" w:firstRow="1" w:lastRow="0" w:firstColumn="1" w:lastColumn="0" w:noHBand="0" w:noVBand="1"/>
      </w:tblPr>
      <w:tblGrid>
        <w:gridCol w:w="9070"/>
      </w:tblGrid>
      <w:tr w:rsidR="00D11197" w:rsidRPr="00675794" w14:paraId="7EDBE8B3" w14:textId="77777777" w:rsidTr="00C60F3E">
        <w:tc>
          <w:tcPr>
            <w:tcW w:w="9072" w:type="dxa"/>
            <w:shd w:val="clear" w:color="auto" w:fill="D9D9D9" w:themeFill="background1" w:themeFillShade="D9"/>
          </w:tcPr>
          <w:p w14:paraId="14182F51" w14:textId="77777777" w:rsidR="00D11197" w:rsidRPr="00D11197" w:rsidRDefault="00D11197" w:rsidP="00D11197">
            <w:pPr>
              <w:pStyle w:val="Tabletext"/>
              <w:rPr>
                <w:rStyle w:val="Bold"/>
              </w:rPr>
            </w:pPr>
            <w:r w:rsidRPr="00875887">
              <w:rPr>
                <w:rStyle w:val="Bold"/>
              </w:rPr>
              <w:t>Select the appropriate option below.</w:t>
            </w:r>
          </w:p>
        </w:tc>
      </w:tr>
    </w:tbl>
    <w:p w14:paraId="557B16A8" w14:textId="77777777" w:rsidR="00D11197" w:rsidRPr="00675794" w:rsidRDefault="00D11197" w:rsidP="00D11197">
      <w:pPr>
        <w:pStyle w:val="BodyText"/>
      </w:pPr>
    </w:p>
    <w:tbl>
      <w:tblPr>
        <w:tblStyle w:val="TableGrid"/>
        <w:tblW w:w="9070" w:type="dxa"/>
        <w:tblLook w:val="04A0" w:firstRow="1" w:lastRow="0" w:firstColumn="1" w:lastColumn="0" w:noHBand="0" w:noVBand="1"/>
      </w:tblPr>
      <w:tblGrid>
        <w:gridCol w:w="9070"/>
      </w:tblGrid>
      <w:tr w:rsidR="00D11197" w:rsidRPr="00675794" w14:paraId="07DB019D" w14:textId="77777777" w:rsidTr="00C60F3E">
        <w:tc>
          <w:tcPr>
            <w:tcW w:w="9070" w:type="dxa"/>
            <w:shd w:val="clear" w:color="auto" w:fill="D9D9D9" w:themeFill="background1" w:themeFillShade="D9"/>
          </w:tcPr>
          <w:p w14:paraId="6E212024" w14:textId="68BA332B" w:rsidR="00D11197" w:rsidRPr="00D11197" w:rsidRDefault="00D11197" w:rsidP="00D11197">
            <w:pPr>
              <w:pStyle w:val="Tabletext"/>
              <w:rPr>
                <w:rStyle w:val="Bold"/>
              </w:rPr>
            </w:pPr>
            <w:r w:rsidRPr="00875887">
              <w:rPr>
                <w:rStyle w:val="Bold"/>
              </w:rPr>
              <w:t xml:space="preserve">Option 1 </w:t>
            </w:r>
            <w:r w:rsidR="00F95062">
              <w:rPr>
                <w:rStyle w:val="Bold"/>
              </w:rPr>
              <w:noBreakHyphen/>
            </w:r>
            <w:r w:rsidRPr="00D11197">
              <w:rPr>
                <w:rStyle w:val="Bold"/>
              </w:rPr>
              <w:t xml:space="preserve"> agencies</w:t>
            </w:r>
          </w:p>
        </w:tc>
      </w:tr>
    </w:tbl>
    <w:p w14:paraId="77D99350" w14:textId="77777777" w:rsidR="00D11197" w:rsidRDefault="00D11197" w:rsidP="00D11197">
      <w:pPr>
        <w:pStyle w:val="BodyText"/>
      </w:pPr>
    </w:p>
    <w:p w14:paraId="70F55580" w14:textId="0F5AB0AD" w:rsidR="00D11197" w:rsidRPr="00675794" w:rsidRDefault="00D11197" w:rsidP="00D11197">
      <w:pPr>
        <w:pStyle w:val="BodyText"/>
      </w:pPr>
      <w:r w:rsidRPr="00675794">
        <w:t xml:space="preserve">The </w:t>
      </w:r>
      <w:r>
        <w:t>[</w:t>
      </w:r>
      <w:r w:rsidRPr="005920BA">
        <w:rPr>
          <w:i/>
        </w:rPr>
        <w:t>Insert year</w:t>
      </w:r>
      <w:r>
        <w:t>]</w:t>
      </w:r>
      <w:r w:rsidRPr="00675794">
        <w:t xml:space="preserve"> </w:t>
      </w:r>
      <w:r>
        <w:t>Audito</w:t>
      </w:r>
      <w:r w:rsidR="00F1700D">
        <w:t>r</w:t>
      </w:r>
      <w:r w:rsidR="00F95062">
        <w:noBreakHyphen/>
      </w:r>
      <w:r w:rsidR="00F1700D">
        <w:t>G</w:t>
      </w:r>
      <w:r>
        <w:t>eneral</w:t>
      </w:r>
      <w:r w:rsidRPr="00675794">
        <w:t>’s Report to Parliament (the Report) will report on:</w:t>
      </w:r>
    </w:p>
    <w:p w14:paraId="0EDE1001" w14:textId="77777777" w:rsidR="00D11197" w:rsidRPr="00BC25FF" w:rsidRDefault="00D11197" w:rsidP="00D11197">
      <w:pPr>
        <w:pStyle w:val="Bullet1stlevel"/>
      </w:pPr>
      <w:r w:rsidRPr="00675794">
        <w:t>the results of the audits for each cluster</w:t>
      </w:r>
    </w:p>
    <w:p w14:paraId="7818BD9E" w14:textId="77777777" w:rsidR="00D11197" w:rsidRPr="00BC25FF" w:rsidRDefault="00D11197" w:rsidP="00D11197">
      <w:pPr>
        <w:pStyle w:val="Bullet1stlevel"/>
      </w:pPr>
      <w:r w:rsidRPr="00675794">
        <w:t>themes and analysis of individual reporting entities, focusing on results and key observations in the areas of financial reporting and controls and service delivery.</w:t>
      </w:r>
    </w:p>
    <w:p w14:paraId="682F4CA2" w14:textId="77777777" w:rsidR="00D11197" w:rsidRPr="00675794" w:rsidRDefault="00D11197" w:rsidP="00D11197">
      <w:pPr>
        <w:pStyle w:val="SingleLineText-Half"/>
      </w:pPr>
    </w:p>
    <w:p w14:paraId="799BD4F7" w14:textId="77777777" w:rsidR="00D11197" w:rsidRPr="00675794" w:rsidRDefault="00D11197" w:rsidP="00D11197">
      <w:pPr>
        <w:pStyle w:val="BodyText"/>
      </w:pPr>
      <w:r w:rsidRPr="00675794">
        <w:t xml:space="preserve">The ‘Internal controls and governance’ Report will report our findings and recommendations from our </w:t>
      </w:r>
      <w:r>
        <w:t>[</w:t>
      </w:r>
      <w:r w:rsidRPr="005920BA">
        <w:rPr>
          <w:i/>
        </w:rPr>
        <w:t>insert financial year</w:t>
      </w:r>
      <w:r>
        <w:t>]</w:t>
      </w:r>
      <w:r w:rsidRPr="00675794">
        <w:t xml:space="preserve"> financial audits relating to the internal controls and governance of 40 </w:t>
      </w:r>
      <w:r>
        <w:t xml:space="preserve">of the </w:t>
      </w:r>
      <w:r w:rsidRPr="00675794">
        <w:t>largest agencies in the NSW public sector. Each year we select a range of measures and report on those that present heightened risks that agencies should mitigate.</w:t>
      </w:r>
    </w:p>
    <w:p w14:paraId="6A45FA12" w14:textId="77777777" w:rsidR="00D11197" w:rsidRPr="00675794" w:rsidRDefault="00D11197" w:rsidP="00D11197">
      <w:pPr>
        <w:pStyle w:val="BodyText"/>
      </w:pPr>
      <w:r w:rsidRPr="00675794">
        <w:t>The Report may make recommendations for your agency, cluster agencies, central agencies or the sector more generally.</w:t>
      </w:r>
    </w:p>
    <w:p w14:paraId="19976593" w14:textId="77777777" w:rsidR="00D11197" w:rsidRPr="00675794" w:rsidRDefault="00D11197" w:rsidP="00D11197">
      <w:pPr>
        <w:pStyle w:val="BodyText"/>
      </w:pPr>
      <w:r w:rsidRPr="00675794">
        <w:t>The draft Report commentary will be given to the Cluster Agency Head for consideration. Specific comments about your agency will be given to [</w:t>
      </w:r>
      <w:r w:rsidRPr="00675794">
        <w:rPr>
          <w:rStyle w:val="Italic"/>
        </w:rPr>
        <w:t>auditee nominee</w:t>
      </w:r>
      <w:r w:rsidRPr="00675794">
        <w:t xml:space="preserve">] for consideration. The Audit Office would appreciate receiving your agency’s specific comments, within five working days of receiving the draft commentary. Responses should only be provided where there is fundamental disagreement with </w:t>
      </w:r>
      <w:r>
        <w:t>the factual content of the Report or</w:t>
      </w:r>
      <w:r w:rsidRPr="00675794">
        <w:t xml:space="preserve"> the Audit Office</w:t>
      </w:r>
      <w:r>
        <w:t>’s interpretation of the data</w:t>
      </w:r>
      <w:r w:rsidRPr="00675794">
        <w:t>. This helps ensure the Report is not unduly delayed.</w:t>
      </w:r>
    </w:p>
    <w:p w14:paraId="6020747E" w14:textId="77777777" w:rsidR="00D11197" w:rsidRDefault="00D11197" w:rsidP="00D11197">
      <w:pPr>
        <w:pStyle w:val="BodyText"/>
      </w:pPr>
      <w:r w:rsidRPr="00675794">
        <w:t xml:space="preserve">The draft Report </w:t>
      </w:r>
      <w:r>
        <w:t>needs to</w:t>
      </w:r>
      <w:r w:rsidRPr="00675794">
        <w:t xml:space="preserve"> remain confidential during this process.</w:t>
      </w:r>
    </w:p>
    <w:p w14:paraId="5821F989" w14:textId="77777777" w:rsidR="00D11197" w:rsidRPr="00675794" w:rsidRDefault="00B6415A" w:rsidP="00D11197">
      <w:pPr>
        <w:pStyle w:val="BodyText"/>
      </w:pPr>
      <w:hyperlink w:anchor="Appendix_three" w:history="1">
        <w:r w:rsidR="00D11197" w:rsidRPr="00320CE9">
          <w:rPr>
            <w:rStyle w:val="Hyperlink"/>
          </w:rPr>
          <w:t>Appendix three</w:t>
        </w:r>
      </w:hyperlink>
      <w:r w:rsidR="00D11197">
        <w:t xml:space="preserve"> provides details of recently tabled r</w:t>
      </w:r>
      <w:r w:rsidR="00D11197" w:rsidRPr="00675794">
        <w:t>eports which may be relevant to [</w:t>
      </w:r>
      <w:r w:rsidR="00D11197" w:rsidRPr="00675794">
        <w:rPr>
          <w:rStyle w:val="Italic"/>
        </w:rPr>
        <w:t>abbreviated name</w:t>
      </w:r>
      <w:r w:rsidR="00D11197" w:rsidRPr="00675794">
        <w:t>]</w:t>
      </w:r>
      <w:r w:rsidR="00D11197">
        <w:t>.</w:t>
      </w:r>
    </w:p>
    <w:tbl>
      <w:tblPr>
        <w:tblStyle w:val="TableGrid"/>
        <w:tblW w:w="9070" w:type="dxa"/>
        <w:tblLook w:val="04A0" w:firstRow="1" w:lastRow="0" w:firstColumn="1" w:lastColumn="0" w:noHBand="0" w:noVBand="1"/>
      </w:tblPr>
      <w:tblGrid>
        <w:gridCol w:w="9070"/>
      </w:tblGrid>
      <w:tr w:rsidR="00D11197" w:rsidRPr="00875887" w14:paraId="7CD2264F" w14:textId="77777777" w:rsidTr="00C60F3E">
        <w:tc>
          <w:tcPr>
            <w:tcW w:w="9072" w:type="dxa"/>
            <w:shd w:val="clear" w:color="auto" w:fill="D9D9D9" w:themeFill="background1" w:themeFillShade="D9"/>
          </w:tcPr>
          <w:p w14:paraId="2A6EEEF6" w14:textId="2538A3A8" w:rsidR="00D11197" w:rsidRPr="00D11197" w:rsidRDefault="00D11197" w:rsidP="00D11197">
            <w:pPr>
              <w:pStyle w:val="Tabletext"/>
              <w:rPr>
                <w:rStyle w:val="Bold"/>
              </w:rPr>
            </w:pPr>
            <w:r w:rsidRPr="00875887">
              <w:rPr>
                <w:rStyle w:val="Bold"/>
              </w:rPr>
              <w:t xml:space="preserve">Option 2 </w:t>
            </w:r>
            <w:r w:rsidR="00F95062">
              <w:rPr>
                <w:rStyle w:val="Bold"/>
              </w:rPr>
              <w:noBreakHyphen/>
            </w:r>
            <w:r w:rsidRPr="00D11197">
              <w:rPr>
                <w:rStyle w:val="Bold"/>
              </w:rPr>
              <w:t xml:space="preserve"> universities</w:t>
            </w:r>
          </w:p>
        </w:tc>
      </w:tr>
    </w:tbl>
    <w:p w14:paraId="2514A7D3" w14:textId="77777777" w:rsidR="00D11197" w:rsidRDefault="00D11197" w:rsidP="00D11197">
      <w:pPr>
        <w:pStyle w:val="BodyText"/>
      </w:pPr>
    </w:p>
    <w:p w14:paraId="24771EB3" w14:textId="41AEDCD5" w:rsidR="00D11197" w:rsidRPr="00675794" w:rsidRDefault="00D11197" w:rsidP="00D11197">
      <w:pPr>
        <w:pStyle w:val="BodyText"/>
      </w:pPr>
      <w:r>
        <w:t>The Audito</w:t>
      </w:r>
      <w:r w:rsidR="00F1700D">
        <w:t>r</w:t>
      </w:r>
      <w:r w:rsidR="00F95062">
        <w:noBreakHyphen/>
      </w:r>
      <w:r w:rsidR="00F1700D">
        <w:t>G</w:t>
      </w:r>
      <w:r>
        <w:t>eneral</w:t>
      </w:r>
      <w:r w:rsidRPr="00675794">
        <w:t xml:space="preserve">’s Report to Parliament (the Report) </w:t>
      </w:r>
      <w:r>
        <w:t xml:space="preserve">for the 2019 audit </w:t>
      </w:r>
      <w:r w:rsidRPr="00675794">
        <w:t>will report on:</w:t>
      </w:r>
    </w:p>
    <w:p w14:paraId="08E172BA" w14:textId="77777777" w:rsidR="00D11197" w:rsidRPr="00BC25FF" w:rsidRDefault="00D11197" w:rsidP="00D11197">
      <w:pPr>
        <w:pStyle w:val="Bullet1stlevel"/>
      </w:pPr>
      <w:r>
        <w:t>the results of the audits for the sector</w:t>
      </w:r>
    </w:p>
    <w:p w14:paraId="4BFAF7CD" w14:textId="77777777" w:rsidR="00D11197" w:rsidRPr="00BC25FF" w:rsidRDefault="00D11197" w:rsidP="00D11197">
      <w:pPr>
        <w:pStyle w:val="Bullet1stlevel"/>
      </w:pPr>
      <w:r w:rsidRPr="00675794">
        <w:t>themes and analysis of individual reporting entities, focusing on results and key observations in the areas of financial reporting and controls and service delivery.</w:t>
      </w:r>
    </w:p>
    <w:p w14:paraId="76015015" w14:textId="77777777" w:rsidR="00D11197" w:rsidRPr="00675794" w:rsidRDefault="00D11197" w:rsidP="00D11197">
      <w:pPr>
        <w:pStyle w:val="SingleLineText-Half"/>
      </w:pPr>
    </w:p>
    <w:p w14:paraId="2B6A22F3" w14:textId="77777777" w:rsidR="00D11197" w:rsidRPr="00675794" w:rsidRDefault="00D11197" w:rsidP="00D11197">
      <w:pPr>
        <w:pStyle w:val="BodyText"/>
      </w:pPr>
      <w:r w:rsidRPr="00675794">
        <w:t>The Report may make recommendations for the University or the sector more generally.</w:t>
      </w:r>
    </w:p>
    <w:p w14:paraId="21CB9EB8" w14:textId="6C5AB988" w:rsidR="00D11197" w:rsidRPr="00675794" w:rsidRDefault="00D11197" w:rsidP="00D11197">
      <w:pPr>
        <w:pStyle w:val="BodyText"/>
      </w:pPr>
      <w:r w:rsidRPr="00675794">
        <w:t>The draft Report commentary will be given to the [Vice</w:t>
      </w:r>
      <w:r w:rsidR="00F95062">
        <w:noBreakHyphen/>
      </w:r>
      <w:r w:rsidRPr="00675794">
        <w:t>Chancellor] for consideration. Specific comments about your University will be given to [</w:t>
      </w:r>
      <w:r w:rsidRPr="00675794">
        <w:rPr>
          <w:rStyle w:val="Italic"/>
        </w:rPr>
        <w:t>auditee nominee</w:t>
      </w:r>
      <w:r w:rsidRPr="00675794">
        <w:t xml:space="preserve">] for consideration. The Audit Office would appreciate receiving the University’s comments, within five working days of receiving the draft commentary. Responses should only be provided where there is fundamental disagreement with </w:t>
      </w:r>
      <w:r>
        <w:t>the factual content of the Report or</w:t>
      </w:r>
      <w:r w:rsidRPr="00675794">
        <w:t xml:space="preserve"> the Audit Office</w:t>
      </w:r>
      <w:r>
        <w:t>’s interpretation of the data</w:t>
      </w:r>
      <w:r w:rsidRPr="00675794">
        <w:t>. This helps ensure the Report is not unduly delayed.</w:t>
      </w:r>
    </w:p>
    <w:p w14:paraId="1B94B58A" w14:textId="77777777" w:rsidR="00D11197" w:rsidRDefault="00D11197" w:rsidP="00D11197">
      <w:pPr>
        <w:pStyle w:val="BodyText"/>
      </w:pPr>
      <w:r w:rsidRPr="00675794">
        <w:t xml:space="preserve">The draft Report </w:t>
      </w:r>
      <w:r>
        <w:t>needs to</w:t>
      </w:r>
      <w:r w:rsidRPr="00675794">
        <w:t xml:space="preserve"> remain confidential during this process.</w:t>
      </w:r>
    </w:p>
    <w:p w14:paraId="3305278E" w14:textId="77777777" w:rsidR="00D11197" w:rsidRPr="00675794" w:rsidRDefault="00B6415A" w:rsidP="00D11197">
      <w:pPr>
        <w:pStyle w:val="BodyText"/>
      </w:pPr>
      <w:hyperlink w:anchor="Appendix_three" w:history="1">
        <w:r w:rsidR="00D11197" w:rsidRPr="00320CE9">
          <w:rPr>
            <w:rStyle w:val="Hyperlink"/>
          </w:rPr>
          <w:t>Appendix three</w:t>
        </w:r>
      </w:hyperlink>
      <w:r w:rsidR="00D11197">
        <w:t xml:space="preserve"> provides details of recently tabled r</w:t>
      </w:r>
      <w:r w:rsidR="00D11197" w:rsidRPr="00675794">
        <w:t>eports which may be relevant to [</w:t>
      </w:r>
      <w:r w:rsidR="00D11197" w:rsidRPr="00675794">
        <w:rPr>
          <w:rStyle w:val="Italic"/>
        </w:rPr>
        <w:t>abbreviated name</w:t>
      </w:r>
      <w:r w:rsidR="00D11197" w:rsidRPr="00675794">
        <w:t>]</w:t>
      </w:r>
      <w:r w:rsidR="00D11197">
        <w:t>.</w:t>
      </w:r>
    </w:p>
    <w:p w14:paraId="67CB43CE" w14:textId="77777777" w:rsidR="00D11197" w:rsidRPr="00D11197" w:rsidRDefault="00D11197" w:rsidP="00D11197">
      <w:pPr>
        <w:pStyle w:val="Heading1-NumberedRED"/>
      </w:pPr>
      <w:bookmarkStart w:id="492" w:name="_Toc14249453"/>
      <w:bookmarkEnd w:id="491"/>
      <w:r w:rsidRPr="00675794">
        <w:t>OTHER MATTERS</w:t>
      </w:r>
      <w:bookmarkEnd w:id="492"/>
    </w:p>
    <w:p w14:paraId="7BF53223" w14:textId="77777777" w:rsidR="00D11197" w:rsidRPr="00675794" w:rsidRDefault="00D11197" w:rsidP="00D11197">
      <w:pPr>
        <w:pStyle w:val="Heading2"/>
      </w:pPr>
      <w:bookmarkStart w:id="493" w:name="_Toc461177104"/>
      <w:bookmarkStart w:id="494" w:name="_Toc461177297"/>
      <w:bookmarkStart w:id="495" w:name="_Toc461177316"/>
      <w:bookmarkStart w:id="496" w:name="_Toc461179133"/>
      <w:bookmarkStart w:id="497" w:name="_Toc461177105"/>
      <w:bookmarkStart w:id="498" w:name="_Hlk14255133"/>
      <w:bookmarkEnd w:id="493"/>
      <w:bookmarkEnd w:id="494"/>
      <w:bookmarkEnd w:id="495"/>
      <w:bookmarkEnd w:id="496"/>
      <w:r w:rsidRPr="00675794">
        <w:t>Workplace Health and Safety Legislation</w:t>
      </w:r>
      <w:bookmarkEnd w:id="497"/>
    </w:p>
    <w:p w14:paraId="08917609" w14:textId="1285E96C" w:rsidR="00D11197" w:rsidRPr="00675794" w:rsidRDefault="00D11197" w:rsidP="00D11197">
      <w:pPr>
        <w:pStyle w:val="BodyText"/>
      </w:pPr>
      <w:r w:rsidRPr="00675794">
        <w:t>Workplace health and safety (WHS) laws make [</w:t>
      </w:r>
      <w:r w:rsidRPr="00D30510">
        <w:rPr>
          <w:rStyle w:val="Italic"/>
        </w:rPr>
        <w:t>abbreviated name</w:t>
      </w:r>
      <w:r w:rsidRPr="00675794">
        <w:t xml:space="preserve">] responsible for meeting legislated standards </w:t>
      </w:r>
      <w:r w:rsidR="00603FED">
        <w:t>to ensure</w:t>
      </w:r>
      <w:r w:rsidRPr="00675794">
        <w:t xml:space="preserve"> the health, safety and welfare </w:t>
      </w:r>
      <w:r>
        <w:t xml:space="preserve">for the audit team </w:t>
      </w:r>
      <w:r w:rsidRPr="00675794">
        <w:t>when they are at your premises.</w:t>
      </w:r>
    </w:p>
    <w:p w14:paraId="4F69DA8F" w14:textId="77777777" w:rsidR="00D11197" w:rsidRPr="00675794" w:rsidRDefault="00D11197" w:rsidP="00D11197">
      <w:pPr>
        <w:pStyle w:val="BodyText"/>
      </w:pPr>
      <w:r w:rsidRPr="00675794">
        <w:t>It is [</w:t>
      </w:r>
      <w:r w:rsidRPr="00D30510">
        <w:rPr>
          <w:rStyle w:val="Italic"/>
        </w:rPr>
        <w:t>abbreviated name</w:t>
      </w:r>
      <w:r w:rsidRPr="00675794">
        <w:t>]’s responsibility to:</w:t>
      </w:r>
    </w:p>
    <w:p w14:paraId="2AF28EFF" w14:textId="1CD97E96" w:rsidR="00D11197" w:rsidRDefault="00D11197" w:rsidP="00D11197">
      <w:pPr>
        <w:pStyle w:val="Bullet1stlevel"/>
      </w:pPr>
      <w:r w:rsidRPr="00675794">
        <w:t>provide the audit team with suitable accommodation and appropriate WHS induction</w:t>
      </w:r>
    </w:p>
    <w:p w14:paraId="5EDA03C7" w14:textId="4807C419" w:rsidR="00603FED" w:rsidRPr="00BC25FF" w:rsidRDefault="00603FED" w:rsidP="00D11197">
      <w:pPr>
        <w:pStyle w:val="Bullet1stlevel"/>
      </w:pPr>
      <w:r>
        <w:t>implement effective health and safety management systems to manage any hazards and risks</w:t>
      </w:r>
    </w:p>
    <w:p w14:paraId="36648775" w14:textId="1FCE776D" w:rsidR="00D11197" w:rsidRPr="00BC25FF" w:rsidRDefault="00D11197" w:rsidP="00D11197">
      <w:pPr>
        <w:pStyle w:val="Bullet1stlevel"/>
      </w:pPr>
      <w:r w:rsidRPr="00675794">
        <w:t xml:space="preserve">ensure the audit team is aware of </w:t>
      </w:r>
      <w:r w:rsidR="00603FED">
        <w:t xml:space="preserve">and complies with </w:t>
      </w:r>
      <w:r w:rsidRPr="00675794">
        <w:t xml:space="preserve">special personal protective </w:t>
      </w:r>
      <w:r w:rsidRPr="00BC25FF">
        <w:t>equipment requirements</w:t>
      </w:r>
    </w:p>
    <w:p w14:paraId="49AD5D88" w14:textId="6E724948" w:rsidR="00D11197" w:rsidRPr="00BC25FF" w:rsidRDefault="00D11197" w:rsidP="00D11197">
      <w:pPr>
        <w:pStyle w:val="Bullet1stlevel"/>
      </w:pPr>
      <w:r w:rsidRPr="00675794">
        <w:t>appropriately brief the audit team and issue them with the necessary personal protective equipment and training in its proper use.</w:t>
      </w:r>
    </w:p>
    <w:p w14:paraId="1AEA15EE" w14:textId="77777777" w:rsidR="00D11197" w:rsidRPr="00675794" w:rsidRDefault="00D11197" w:rsidP="00D11197">
      <w:pPr>
        <w:pStyle w:val="SingleLineText-Half"/>
      </w:pPr>
    </w:p>
    <w:p w14:paraId="2158180A" w14:textId="317249AA" w:rsidR="00D11197" w:rsidRPr="00675794" w:rsidRDefault="00D11197" w:rsidP="00D11197">
      <w:pPr>
        <w:pStyle w:val="BodyText"/>
      </w:pPr>
      <w:r w:rsidRPr="00675794">
        <w:t xml:space="preserve">Further details are provided in the </w:t>
      </w:r>
      <w:hyperlink r:id="rId29" w:history="1">
        <w:r w:rsidRPr="004E6427">
          <w:rPr>
            <w:rStyle w:val="Hyperlink"/>
          </w:rPr>
          <w:t>Terms of Engagement</w:t>
        </w:r>
      </w:hyperlink>
      <w:r w:rsidRPr="00675794">
        <w:t>.</w:t>
      </w:r>
    </w:p>
    <w:bookmarkEnd w:id="498"/>
    <w:p w14:paraId="4B9F0389" w14:textId="77777777" w:rsidR="00D11197" w:rsidRPr="00675794" w:rsidRDefault="00D11197" w:rsidP="00D11197">
      <w:pPr>
        <w:pStyle w:val="Heading2"/>
      </w:pPr>
      <w:r w:rsidRPr="00675794">
        <w:t>Matters covered elsewhere</w:t>
      </w:r>
    </w:p>
    <w:p w14:paraId="2E5778AF" w14:textId="0880D800" w:rsidR="00D11197" w:rsidRPr="00675794" w:rsidRDefault="00D11197" w:rsidP="00D11197">
      <w:pPr>
        <w:pStyle w:val="BodyText"/>
      </w:pPr>
      <w:r w:rsidRPr="00675794">
        <w:t>Please read the AE</w:t>
      </w:r>
      <w:r>
        <w:t>P</w:t>
      </w:r>
      <w:r w:rsidRPr="00675794">
        <w:t xml:space="preserve"> together with the standard </w:t>
      </w:r>
      <w:hyperlink r:id="rId30" w:history="1">
        <w:r w:rsidRPr="00675794">
          <w:rPr>
            <w:rStyle w:val="Hyperlink"/>
          </w:rPr>
          <w:t>Terms of Engagement</w:t>
        </w:r>
      </w:hyperlink>
      <w:r w:rsidRPr="00675794">
        <w:t>, which provides additional information on:</w:t>
      </w:r>
    </w:p>
    <w:p w14:paraId="6CBDAA36" w14:textId="47DB42E1" w:rsidR="00D11197" w:rsidRPr="00BC25FF" w:rsidRDefault="00D11197" w:rsidP="00D11197">
      <w:pPr>
        <w:pStyle w:val="Bullet1stlevel"/>
      </w:pPr>
      <w:r w:rsidRPr="00675794">
        <w:t xml:space="preserve">the </w:t>
      </w:r>
      <w:r>
        <w:t>Audito</w:t>
      </w:r>
      <w:r w:rsidR="00F1700D">
        <w:t>r</w:t>
      </w:r>
      <w:r w:rsidR="00F95062">
        <w:noBreakHyphen/>
      </w:r>
      <w:r w:rsidR="00F1700D">
        <w:t>G</w:t>
      </w:r>
      <w:r>
        <w:t>eneral</w:t>
      </w:r>
      <w:r w:rsidRPr="00675794">
        <w:t>’s responsibilities</w:t>
      </w:r>
    </w:p>
    <w:p w14:paraId="4337D540" w14:textId="77777777" w:rsidR="00D11197" w:rsidRPr="00BC25FF" w:rsidRDefault="00D11197" w:rsidP="00D11197">
      <w:pPr>
        <w:pStyle w:val="Bullet1stlevel"/>
      </w:pPr>
      <w:r>
        <w:t>aud</w:t>
      </w:r>
      <w:r w:rsidRPr="00BC25FF">
        <w:t>itee resources</w:t>
      </w:r>
    </w:p>
    <w:p w14:paraId="4FFCC700" w14:textId="77777777" w:rsidR="00D11197" w:rsidRPr="00BC25FF" w:rsidRDefault="00D11197" w:rsidP="00D11197">
      <w:pPr>
        <w:pStyle w:val="Bullet1stlevel"/>
      </w:pPr>
      <w:r w:rsidRPr="00675794">
        <w:t>engagement approach</w:t>
      </w:r>
    </w:p>
    <w:p w14:paraId="2F6B212B" w14:textId="77777777" w:rsidR="00D11197" w:rsidRPr="00BC25FF" w:rsidRDefault="00D11197" w:rsidP="00D11197">
      <w:pPr>
        <w:pStyle w:val="Bullet1stlevel"/>
      </w:pPr>
      <w:r w:rsidRPr="00675794">
        <w:t>communication and reports</w:t>
      </w:r>
    </w:p>
    <w:p w14:paraId="3BE4441D" w14:textId="77777777" w:rsidR="00D11197" w:rsidRPr="00BC25FF" w:rsidRDefault="00D11197" w:rsidP="00D11197">
      <w:pPr>
        <w:pStyle w:val="Bullet1stlevel"/>
      </w:pPr>
      <w:r w:rsidRPr="00675794">
        <w:t>submitting financial statements for audit</w:t>
      </w:r>
    </w:p>
    <w:p w14:paraId="3F15F00A" w14:textId="77777777" w:rsidR="00D11197" w:rsidRPr="00BC25FF" w:rsidRDefault="00D11197" w:rsidP="00D11197">
      <w:pPr>
        <w:pStyle w:val="Bullet1stlevel"/>
      </w:pPr>
      <w:r w:rsidRPr="00675794">
        <w:t>materiality, risk and the inherent limitations of an audit</w:t>
      </w:r>
    </w:p>
    <w:p w14:paraId="47A691DD" w14:textId="77777777" w:rsidR="00D11197" w:rsidRPr="00BC25FF" w:rsidRDefault="00D11197" w:rsidP="00D11197">
      <w:pPr>
        <w:pStyle w:val="Bullet1stlevel"/>
      </w:pPr>
      <w:r w:rsidRPr="00675794">
        <w:t xml:space="preserve">provision of working papers </w:t>
      </w:r>
    </w:p>
    <w:p w14:paraId="5C36AA25" w14:textId="77777777" w:rsidR="00D11197" w:rsidRPr="00BC25FF" w:rsidRDefault="00D11197" w:rsidP="00D11197">
      <w:pPr>
        <w:pStyle w:val="Bullet1stlevel"/>
      </w:pPr>
      <w:r w:rsidRPr="00675794">
        <w:t>representations</w:t>
      </w:r>
    </w:p>
    <w:p w14:paraId="382A25A2" w14:textId="77777777" w:rsidR="00D11197" w:rsidRPr="00BC25FF" w:rsidRDefault="00D11197" w:rsidP="00D11197">
      <w:pPr>
        <w:pStyle w:val="Bullet1stlevel"/>
      </w:pPr>
      <w:r w:rsidRPr="00675794">
        <w:t>access</w:t>
      </w:r>
    </w:p>
    <w:p w14:paraId="43F289AC" w14:textId="77777777" w:rsidR="00D11197" w:rsidRPr="00BC25FF" w:rsidRDefault="00D11197" w:rsidP="00D11197">
      <w:pPr>
        <w:pStyle w:val="Bullet1stlevel"/>
      </w:pPr>
      <w:r w:rsidRPr="00675794">
        <w:t>clearance meetings</w:t>
      </w:r>
    </w:p>
    <w:p w14:paraId="4A9872CF" w14:textId="77777777" w:rsidR="00D11197" w:rsidRPr="00BC25FF" w:rsidRDefault="00D11197" w:rsidP="00D11197">
      <w:pPr>
        <w:pStyle w:val="Bullet1stlevel"/>
      </w:pPr>
      <w:r w:rsidRPr="00675794">
        <w:t xml:space="preserve">accommodation, facilities and staff amenity </w:t>
      </w:r>
    </w:p>
    <w:p w14:paraId="55795B8B" w14:textId="77777777" w:rsidR="00D11197" w:rsidRPr="00BC25FF" w:rsidRDefault="00D11197" w:rsidP="00D11197">
      <w:pPr>
        <w:pStyle w:val="Bullet1stlevel"/>
      </w:pPr>
      <w:r w:rsidRPr="00675794">
        <w:t>determination of fees for engagements.</w:t>
      </w:r>
    </w:p>
    <w:p w14:paraId="2BB9D65D" w14:textId="77777777" w:rsidR="00D11197" w:rsidRPr="00675794" w:rsidRDefault="00D11197" w:rsidP="00D11197">
      <w:pPr>
        <w:pStyle w:val="SingleLineText-Half"/>
      </w:pPr>
    </w:p>
    <w:p w14:paraId="136172B9" w14:textId="77777777" w:rsidR="00D11197" w:rsidRPr="00675794" w:rsidRDefault="00D11197" w:rsidP="00D11197">
      <w:pPr>
        <w:pStyle w:val="Heading2"/>
      </w:pPr>
      <w:r w:rsidRPr="00675794">
        <w:t>Publications</w:t>
      </w:r>
    </w:p>
    <w:p w14:paraId="1C7ADAE2" w14:textId="77777777" w:rsidR="00D11197" w:rsidRPr="00675794" w:rsidRDefault="00D11197" w:rsidP="00D11197">
      <w:pPr>
        <w:pStyle w:val="BodyText"/>
      </w:pPr>
      <w:r w:rsidRPr="00675794">
        <w:t>The Audit Office has the following useful publications on our website:</w:t>
      </w:r>
    </w:p>
    <w:p w14:paraId="302BC201" w14:textId="63317522" w:rsidR="00D11197" w:rsidRPr="00BC25FF" w:rsidRDefault="00B6415A" w:rsidP="00D11197">
      <w:pPr>
        <w:pStyle w:val="Bullet1stlevel"/>
      </w:pPr>
      <w:hyperlink r:id="rId31" w:history="1">
        <w:r w:rsidR="00D11197" w:rsidRPr="003E7F71">
          <w:rPr>
            <w:rStyle w:val="Hyperlink"/>
          </w:rPr>
          <w:t>‘Annual Work Program 2019–20’</w:t>
        </w:r>
      </w:hyperlink>
      <w:r w:rsidR="00D11197" w:rsidRPr="005920BA">
        <w:rPr>
          <w:rStyle w:val="BodyTextChar"/>
        </w:rPr>
        <w:t xml:space="preserve"> </w:t>
      </w:r>
      <w:r w:rsidR="00D11197" w:rsidRPr="00BC25FF">
        <w:t>explains how the Audit Office decides what to focus on and what we intend to cover in the next year. It also gives Parliament, the entities we audit and the broader community some certainty over future topics and the timing of our reports</w:t>
      </w:r>
      <w:r w:rsidR="0023511A">
        <w:t>.</w:t>
      </w:r>
    </w:p>
    <w:p w14:paraId="19BE7928" w14:textId="41A17CF7" w:rsidR="00D11197" w:rsidRPr="00BC25FF" w:rsidRDefault="00D11197" w:rsidP="00D11197">
      <w:pPr>
        <w:pStyle w:val="Bullet1stlevel"/>
        <w:rPr>
          <w:rStyle w:val="Hyperlink"/>
        </w:rPr>
      </w:pPr>
      <w:r w:rsidRPr="00675794">
        <w:rPr>
          <w:rStyle w:val="Hyperlink"/>
        </w:rPr>
        <w:t>‘</w:t>
      </w:r>
      <w:hyperlink r:id="rId32" w:history="1">
        <w:r w:rsidRPr="00BC25FF">
          <w:rPr>
            <w:rStyle w:val="Hyperlink"/>
          </w:rPr>
          <w:t>Professional Update</w:t>
        </w:r>
      </w:hyperlink>
      <w:r w:rsidRPr="00BC25FF">
        <w:rPr>
          <w:rStyle w:val="Hyperlink"/>
        </w:rPr>
        <w:t>’</w:t>
      </w:r>
      <w:r w:rsidRPr="00BC25FF">
        <w:t xml:space="preserve"> published quarterly to help auditees and our staff keep abreast of key accounting, auditing and legislative developments in the NSW public sector, including pronouncements by professional standard setters and changes in the regulatory environment. To subscribe or access previous editions please visit our website at: </w:t>
      </w:r>
      <w:hyperlink r:id="rId33" w:history="1">
        <w:r>
          <w:rPr>
            <w:rStyle w:val="Hyperlink"/>
          </w:rPr>
          <w:t>https://www.audit.nsw.gov.au/our</w:t>
        </w:r>
        <w:r w:rsidR="00F95062">
          <w:rPr>
            <w:rStyle w:val="Hyperlink"/>
          </w:rPr>
          <w:noBreakHyphen/>
        </w:r>
        <w:r>
          <w:rPr>
            <w:rStyle w:val="Hyperlink"/>
          </w:rPr>
          <w:t>work/resources</w:t>
        </w:r>
      </w:hyperlink>
      <w:r w:rsidR="0023511A" w:rsidRPr="005920BA">
        <w:rPr>
          <w:rStyle w:val="BodyTextChar"/>
        </w:rPr>
        <w:t>.</w:t>
      </w:r>
    </w:p>
    <w:p w14:paraId="3B3AB060" w14:textId="2980BF66" w:rsidR="00D11197" w:rsidRPr="00BC25FF" w:rsidRDefault="00B6415A" w:rsidP="00D11197">
      <w:pPr>
        <w:pStyle w:val="Bullet1stlevel"/>
      </w:pPr>
      <w:hyperlink r:id="rId34" w:history="1">
        <w:r w:rsidR="00D11197" w:rsidRPr="00BC25FF">
          <w:rPr>
            <w:rStyle w:val="Hyperlink"/>
          </w:rPr>
          <w:t>‘Financial Reporting Issues and Developments’</w:t>
        </w:r>
      </w:hyperlink>
      <w:r w:rsidR="00D11197" w:rsidRPr="00BC25FF">
        <w:t xml:space="preserve"> for the NSW public sector detailing:</w:t>
      </w:r>
    </w:p>
    <w:p w14:paraId="558D193B" w14:textId="77777777" w:rsidR="00D11197" w:rsidRPr="00D11197" w:rsidRDefault="00D11197" w:rsidP="005920BA">
      <w:pPr>
        <w:pStyle w:val="Bullet2ndlevel"/>
      </w:pPr>
      <w:r w:rsidRPr="00675794">
        <w:t>current issues and financial reporting developments that may impact the audit</w:t>
      </w:r>
    </w:p>
    <w:p w14:paraId="210DDBC7" w14:textId="77777777" w:rsidR="00D11197" w:rsidRPr="00D11197" w:rsidRDefault="00D11197" w:rsidP="005920BA">
      <w:pPr>
        <w:pStyle w:val="Bullet2ndlevel"/>
      </w:pPr>
      <w:r w:rsidRPr="00675794">
        <w:t>accounting standards and pronouncements issued during the year that may impact the financial statements and/or annual report</w:t>
      </w:r>
    </w:p>
    <w:p w14:paraId="2BB537FD" w14:textId="0FB02BFD" w:rsidR="00D11197" w:rsidRPr="00BC25FF" w:rsidRDefault="00D11197" w:rsidP="00D11197">
      <w:pPr>
        <w:pStyle w:val="Bullet1stlevel"/>
      </w:pPr>
      <w:r w:rsidRPr="00675794">
        <w:t>[</w:t>
      </w:r>
      <w:hyperlink r:id="rId35" w:history="1">
        <w:r w:rsidRPr="00BC25FF">
          <w:rPr>
            <w:rStyle w:val="Hyperlink"/>
          </w:rPr>
          <w:t xml:space="preserve">‘Application of Current </w:t>
        </w:r>
        <w:r w:rsidR="00F95062">
          <w:rPr>
            <w:rStyle w:val="Hyperlink"/>
          </w:rPr>
          <w:t>Treasury</w:t>
        </w:r>
        <w:r w:rsidRPr="00BC25FF">
          <w:rPr>
            <w:rStyle w:val="Hyperlink"/>
          </w:rPr>
          <w:t xml:space="preserve"> Pronouncements’</w:t>
        </w:r>
      </w:hyperlink>
      <w:r w:rsidRPr="00BC25FF">
        <w:t xml:space="preserve"> listing </w:t>
      </w:r>
      <w:r w:rsidR="00F95062">
        <w:t>Treasury</w:t>
      </w:r>
      <w:r w:rsidRPr="00BC25FF">
        <w:t xml:space="preserve"> Policy Papers and Circulars in force and the government agencies they apply to].</w:t>
      </w:r>
    </w:p>
    <w:p w14:paraId="62319E74" w14:textId="77777777" w:rsidR="00D11197" w:rsidRDefault="00D11197" w:rsidP="00D11197">
      <w:pPr>
        <w:pStyle w:val="BodyText"/>
      </w:pPr>
    </w:p>
    <w:p w14:paraId="2498B52A" w14:textId="77777777" w:rsidR="00D11197" w:rsidRDefault="00D11197" w:rsidP="00D11197">
      <w:pPr>
        <w:pStyle w:val="BodyText"/>
        <w:sectPr w:rsidR="00D11197" w:rsidSect="00C60F3E">
          <w:headerReference w:type="default" r:id="rId36"/>
          <w:footerReference w:type="default" r:id="rId37"/>
          <w:pgSz w:w="11907" w:h="16840" w:code="9"/>
          <w:pgMar w:top="1418" w:right="1418" w:bottom="1134" w:left="1418" w:header="720" w:footer="720" w:gutter="0"/>
          <w:pgNumType w:start="1"/>
          <w:cols w:space="708"/>
          <w:docGrid w:linePitch="360"/>
        </w:sectPr>
      </w:pPr>
    </w:p>
    <w:p w14:paraId="116ACAC0" w14:textId="77777777" w:rsidR="00D11197" w:rsidRPr="00016415" w:rsidRDefault="00D11197" w:rsidP="0063146B">
      <w:pPr>
        <w:pStyle w:val="Heading1Red"/>
      </w:pPr>
      <w:bookmarkStart w:id="499" w:name="Appendix_one"/>
      <w:bookmarkStart w:id="500" w:name="_Toc14249454"/>
      <w:r w:rsidRPr="007F4EEB">
        <w:t xml:space="preserve">APPENDIX ONE </w:t>
      </w:r>
      <w:bookmarkEnd w:id="499"/>
      <w:r w:rsidRPr="007F4EEB">
        <w:t>– AUDIT APPROACH FOR KEY BUSINESS AND ACCOUNTING PROCESSES</w:t>
      </w:r>
      <w:bookmarkEnd w:id="500"/>
    </w:p>
    <w:p w14:paraId="48F0EDF5" w14:textId="77777777" w:rsidR="00D11197" w:rsidRDefault="00D11197" w:rsidP="00D11197">
      <w:pPr>
        <w:pStyle w:val="BodyText"/>
      </w:pPr>
      <w:r>
        <w:t xml:space="preserve">The table below </w:t>
      </w:r>
      <w:r w:rsidRPr="00675794">
        <w:t>details our observations on the business and accounting processes relevant to the financial statements and our planned audit approach.</w:t>
      </w:r>
    </w:p>
    <w:tbl>
      <w:tblPr>
        <w:tblStyle w:val="TableGrid"/>
        <w:tblW w:w="9070" w:type="dxa"/>
        <w:tblLook w:val="04A0" w:firstRow="1" w:lastRow="0" w:firstColumn="1" w:lastColumn="0" w:noHBand="0" w:noVBand="1"/>
      </w:tblPr>
      <w:tblGrid>
        <w:gridCol w:w="9070"/>
      </w:tblGrid>
      <w:tr w:rsidR="00D11197" w:rsidRPr="007F4EEB" w14:paraId="027DF14D" w14:textId="77777777" w:rsidTr="00C60F3E">
        <w:tc>
          <w:tcPr>
            <w:tcW w:w="9060" w:type="dxa"/>
            <w:shd w:val="clear" w:color="auto" w:fill="D9D9D9" w:themeFill="background1" w:themeFillShade="D9"/>
          </w:tcPr>
          <w:p w14:paraId="5DE5B169" w14:textId="74944347" w:rsidR="00D11197" w:rsidRPr="00D11197" w:rsidRDefault="00D11197" w:rsidP="00D11197">
            <w:pPr>
              <w:pStyle w:val="Tabletext"/>
              <w:rPr>
                <w:rStyle w:val="Bold"/>
              </w:rPr>
            </w:pPr>
            <w:r w:rsidRPr="007F4EEB">
              <w:rPr>
                <w:rStyle w:val="Bold"/>
              </w:rPr>
              <w:t>Audit teams should include all business and accounting processes relevant to the audit of the financial statements in the table below. An example is provided for the purchasing and payables, payroll and related provisions and other year</w:t>
            </w:r>
            <w:r w:rsidR="00F95062">
              <w:rPr>
                <w:rStyle w:val="Bold"/>
              </w:rPr>
              <w:noBreakHyphen/>
            </w:r>
            <w:r w:rsidRPr="00D11197">
              <w:rPr>
                <w:rStyle w:val="Bold"/>
              </w:rPr>
              <w:t>end reporting adjustments.</w:t>
            </w:r>
          </w:p>
          <w:p w14:paraId="4FD3E814" w14:textId="77777777" w:rsidR="00D11197" w:rsidRPr="00D11197" w:rsidRDefault="00D11197" w:rsidP="00D11197">
            <w:pPr>
              <w:pStyle w:val="Tabletext"/>
              <w:rPr>
                <w:rStyle w:val="Bold"/>
              </w:rPr>
            </w:pPr>
            <w:r w:rsidRPr="006F776E">
              <w:rPr>
                <w:rStyle w:val="Bold"/>
              </w:rPr>
              <w:t>The extent of information included is at the discretion of the EC.</w:t>
            </w:r>
          </w:p>
          <w:p w14:paraId="0F7B266E" w14:textId="77777777" w:rsidR="00D11197" w:rsidRPr="00D11197" w:rsidRDefault="00D11197" w:rsidP="00D11197">
            <w:pPr>
              <w:pStyle w:val="Tabletext"/>
              <w:rPr>
                <w:rStyle w:val="Bold"/>
              </w:rPr>
            </w:pPr>
            <w:r w:rsidRPr="007F4EEB">
              <w:rPr>
                <w:rStyle w:val="Bold"/>
              </w:rPr>
              <w:t xml:space="preserve">Some of the common business and accounting processes </w:t>
            </w:r>
            <w:r w:rsidRPr="00D11197">
              <w:rPr>
                <w:rStyle w:val="Bold"/>
              </w:rPr>
              <w:t>are listed in the table. This is not intended to be a complete list and audit teams should add/remove business and accounting processes that are relevant to the audit of the financial statements, based on materiality and risk assessment.</w:t>
            </w:r>
          </w:p>
        </w:tc>
      </w:tr>
    </w:tbl>
    <w:p w14:paraId="349ED850" w14:textId="77777777" w:rsidR="00D11197" w:rsidRPr="00675794" w:rsidRDefault="00D11197" w:rsidP="00D11197">
      <w:pPr>
        <w:pStyle w:val="BodyText"/>
      </w:pPr>
    </w:p>
    <w:tbl>
      <w:tblPr>
        <w:tblStyle w:val="TableGrid"/>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14"/>
        <w:gridCol w:w="3615"/>
      </w:tblGrid>
      <w:tr w:rsidR="00D11197" w:rsidRPr="00675794" w14:paraId="51F87B48" w14:textId="77777777" w:rsidTr="005920BA">
        <w:trPr>
          <w:tblHeader/>
        </w:trPr>
        <w:tc>
          <w:tcPr>
            <w:tcW w:w="1843" w:type="dxa"/>
            <w:tcBorders>
              <w:bottom w:val="single" w:sz="18" w:space="0" w:color="D9AD5F"/>
            </w:tcBorders>
            <w:shd w:val="clear" w:color="auto" w:fill="EFEFF0"/>
            <w:vAlign w:val="center"/>
          </w:tcPr>
          <w:p w14:paraId="4CDD3787" w14:textId="77777777" w:rsidR="00D11197" w:rsidRPr="00D11197" w:rsidRDefault="00D11197" w:rsidP="00D11197">
            <w:pPr>
              <w:pStyle w:val="Tableheading-leftaligned"/>
            </w:pPr>
            <w:r w:rsidRPr="00675794">
              <w:t>Business / accounting process</w:t>
            </w:r>
          </w:p>
        </w:tc>
        <w:tc>
          <w:tcPr>
            <w:tcW w:w="3614" w:type="dxa"/>
            <w:tcBorders>
              <w:bottom w:val="single" w:sz="18" w:space="0" w:color="D9AD5F"/>
            </w:tcBorders>
            <w:shd w:val="clear" w:color="auto" w:fill="EFEFF0"/>
            <w:vAlign w:val="center"/>
          </w:tcPr>
          <w:p w14:paraId="5DA804F1" w14:textId="77777777" w:rsidR="00D11197" w:rsidRPr="00D11197" w:rsidRDefault="00D11197" w:rsidP="00D11197">
            <w:pPr>
              <w:pStyle w:val="Tableheading-leftaligned"/>
            </w:pPr>
            <w:r w:rsidRPr="00675794">
              <w:t>Observation of business / accounting process</w:t>
            </w:r>
          </w:p>
        </w:tc>
        <w:tc>
          <w:tcPr>
            <w:tcW w:w="3615" w:type="dxa"/>
            <w:tcBorders>
              <w:bottom w:val="single" w:sz="18" w:space="0" w:color="D9AD5F"/>
            </w:tcBorders>
            <w:shd w:val="clear" w:color="auto" w:fill="EFEFF0"/>
            <w:vAlign w:val="center"/>
          </w:tcPr>
          <w:p w14:paraId="11D275A8" w14:textId="77777777" w:rsidR="00D11197" w:rsidRPr="00D11197" w:rsidRDefault="00D11197" w:rsidP="00D11197">
            <w:pPr>
              <w:pStyle w:val="Tableheading-leftaligned"/>
            </w:pPr>
            <w:r w:rsidRPr="00675794">
              <w:t>Audit approach</w:t>
            </w:r>
          </w:p>
        </w:tc>
      </w:tr>
      <w:tr w:rsidR="00D11197" w:rsidRPr="00675794" w14:paraId="5D7E8A16" w14:textId="77777777" w:rsidTr="005920BA">
        <w:tc>
          <w:tcPr>
            <w:tcW w:w="1843" w:type="dxa"/>
            <w:tcBorders>
              <w:top w:val="single" w:sz="18" w:space="0" w:color="D9AD5F"/>
            </w:tcBorders>
            <w:shd w:val="clear" w:color="auto" w:fill="auto"/>
          </w:tcPr>
          <w:p w14:paraId="449E5D69" w14:textId="77777777" w:rsidR="00D11197" w:rsidRPr="00D11197" w:rsidRDefault="00D11197" w:rsidP="00D11197">
            <w:pPr>
              <w:pStyle w:val="Tabletext"/>
            </w:pPr>
            <w:r w:rsidRPr="00675794">
              <w:t>[</w:t>
            </w:r>
            <w:r w:rsidRPr="00D11197">
              <w:rPr>
                <w:rStyle w:val="Italic"/>
              </w:rPr>
              <w:t>Business / accounting process name</w:t>
            </w:r>
            <w:r w:rsidRPr="00D11197">
              <w:t>]</w:t>
            </w:r>
          </w:p>
        </w:tc>
        <w:tc>
          <w:tcPr>
            <w:tcW w:w="3614" w:type="dxa"/>
            <w:tcBorders>
              <w:top w:val="single" w:sz="18" w:space="0" w:color="D9AD5F"/>
            </w:tcBorders>
            <w:shd w:val="clear" w:color="auto" w:fill="auto"/>
          </w:tcPr>
          <w:p w14:paraId="0A726056" w14:textId="77777777" w:rsidR="00D11197" w:rsidRPr="00D11197" w:rsidRDefault="00D11197" w:rsidP="00D11197">
            <w:pPr>
              <w:pStyle w:val="Tabletext"/>
              <w:rPr>
                <w:rStyle w:val="Italic"/>
              </w:rPr>
            </w:pPr>
            <w:r w:rsidRPr="00675794">
              <w:t>[</w:t>
            </w:r>
            <w:r w:rsidRPr="00D11197">
              <w:rPr>
                <w:rStyle w:val="Italic"/>
              </w:rPr>
              <w:t>Provide a brief observation of the business / accounting process, including matters such as:</w:t>
            </w:r>
          </w:p>
          <w:p w14:paraId="60E678E4" w14:textId="77777777" w:rsidR="00D11197" w:rsidRPr="00D11197" w:rsidRDefault="00D11197" w:rsidP="00D11197">
            <w:pPr>
              <w:pStyle w:val="Tablebullet"/>
              <w:rPr>
                <w:rStyle w:val="Italic"/>
              </w:rPr>
            </w:pPr>
            <w:r w:rsidRPr="00675794">
              <w:rPr>
                <w:rStyle w:val="Italic"/>
              </w:rPr>
              <w:t>the accounting</w:t>
            </w:r>
            <w:r w:rsidRPr="00D11197">
              <w:rPr>
                <w:rStyle w:val="Italic"/>
              </w:rPr>
              <w:t xml:space="preserve"> system used to process transactions</w:t>
            </w:r>
          </w:p>
          <w:p w14:paraId="04B89EC5" w14:textId="77777777" w:rsidR="00D11197" w:rsidRPr="00D11197" w:rsidRDefault="00D11197" w:rsidP="00D11197">
            <w:pPr>
              <w:pStyle w:val="Tablebullet"/>
              <w:rPr>
                <w:rStyle w:val="Italic"/>
              </w:rPr>
            </w:pPr>
            <w:r w:rsidRPr="00675794">
              <w:rPr>
                <w:rStyle w:val="Italic"/>
              </w:rPr>
              <w:t>management’s reliance on automated and manual controls</w:t>
            </w:r>
          </w:p>
          <w:p w14:paraId="39AF9A2C" w14:textId="76E5E7BC" w:rsidR="00D11197" w:rsidRPr="00D11197" w:rsidRDefault="00D11197" w:rsidP="00D11197">
            <w:pPr>
              <w:pStyle w:val="Tablebullet"/>
              <w:rPr>
                <w:rStyle w:val="Italic"/>
              </w:rPr>
            </w:pPr>
            <w:r w:rsidRPr="00675794">
              <w:rPr>
                <w:rStyle w:val="Italic"/>
              </w:rPr>
              <w:t>prior year findings</w:t>
            </w:r>
          </w:p>
          <w:p w14:paraId="20BA6314" w14:textId="77777777" w:rsidR="00D11197" w:rsidRPr="00D11197" w:rsidRDefault="00D11197" w:rsidP="00D11197">
            <w:pPr>
              <w:pStyle w:val="Tablebullet"/>
            </w:pPr>
            <w:r w:rsidRPr="00675794">
              <w:rPr>
                <w:rStyle w:val="Italic"/>
              </w:rPr>
              <w:t>significant risks and changes identified during the current year</w:t>
            </w:r>
            <w:r w:rsidRPr="00D11197">
              <w:rPr>
                <w:rStyle w:val="Italic"/>
              </w:rPr>
              <w:t>.</w:t>
            </w:r>
            <w:r w:rsidRPr="00D11197">
              <w:t>]</w:t>
            </w:r>
          </w:p>
          <w:p w14:paraId="2977A89F" w14:textId="77777777" w:rsidR="00D11197" w:rsidRPr="00BC25FF" w:rsidRDefault="00D11197" w:rsidP="00D11197">
            <w:pPr>
              <w:pStyle w:val="SingleLineText-Half"/>
            </w:pPr>
          </w:p>
        </w:tc>
        <w:tc>
          <w:tcPr>
            <w:tcW w:w="3615" w:type="dxa"/>
            <w:tcBorders>
              <w:top w:val="single" w:sz="18" w:space="0" w:color="D9AD5F"/>
            </w:tcBorders>
            <w:shd w:val="clear" w:color="auto" w:fill="auto"/>
          </w:tcPr>
          <w:p w14:paraId="6E8C91A2" w14:textId="77777777" w:rsidR="00D11197" w:rsidRPr="00D11197" w:rsidRDefault="00D11197" w:rsidP="00D11197">
            <w:pPr>
              <w:pStyle w:val="Tabletext"/>
              <w:rPr>
                <w:rStyle w:val="Italic"/>
              </w:rPr>
            </w:pPr>
            <w:r w:rsidRPr="00675794">
              <w:t>[</w:t>
            </w:r>
            <w:r w:rsidRPr="00D11197">
              <w:rPr>
                <w:rStyle w:val="Italic"/>
              </w:rPr>
              <w:t>Provide a brief overview of the audit approach, identifying the:</w:t>
            </w:r>
          </w:p>
          <w:p w14:paraId="21BBE4B2" w14:textId="77777777" w:rsidR="00D11197" w:rsidRPr="00D11197" w:rsidRDefault="00D11197" w:rsidP="00D11197">
            <w:pPr>
              <w:pStyle w:val="Tablebullet"/>
              <w:rPr>
                <w:rStyle w:val="Italic"/>
              </w:rPr>
            </w:pPr>
            <w:r w:rsidRPr="00675794">
              <w:rPr>
                <w:rStyle w:val="Italic"/>
              </w:rPr>
              <w:t>audit approach (e.g. full or partial controls reliance, fully substantive audit etc.) for the business / accounting process or specific types of transactions</w:t>
            </w:r>
          </w:p>
          <w:p w14:paraId="4041496B" w14:textId="77777777" w:rsidR="00D11197" w:rsidRPr="00D11197" w:rsidRDefault="00D11197" w:rsidP="00D11197">
            <w:pPr>
              <w:pStyle w:val="Tablebullet"/>
            </w:pPr>
            <w:r w:rsidRPr="00675794">
              <w:rPr>
                <w:rStyle w:val="Italic"/>
              </w:rPr>
              <w:t xml:space="preserve">impact of prior year findings, significant risks or </w:t>
            </w:r>
            <w:r w:rsidRPr="00D11197">
              <w:rPr>
                <w:rStyle w:val="Italic"/>
              </w:rPr>
              <w:t>changes identified during the year on the audit approach.</w:t>
            </w:r>
            <w:r w:rsidRPr="00D11197">
              <w:t>]</w:t>
            </w:r>
          </w:p>
          <w:p w14:paraId="23AA7606" w14:textId="77777777" w:rsidR="00D11197" w:rsidRPr="00BC25FF" w:rsidRDefault="00D11197" w:rsidP="00D11197">
            <w:pPr>
              <w:pStyle w:val="SingleLineText-Half"/>
            </w:pPr>
          </w:p>
        </w:tc>
      </w:tr>
      <w:tr w:rsidR="00D11197" w:rsidRPr="00675794" w14:paraId="102E5E42" w14:textId="77777777" w:rsidTr="00C60F3E">
        <w:tc>
          <w:tcPr>
            <w:tcW w:w="1843" w:type="dxa"/>
            <w:shd w:val="clear" w:color="auto" w:fill="auto"/>
          </w:tcPr>
          <w:p w14:paraId="5A8459E3" w14:textId="77777777" w:rsidR="00D11197" w:rsidRPr="00D11197" w:rsidRDefault="00D11197" w:rsidP="00D11197">
            <w:pPr>
              <w:pStyle w:val="Tabletext"/>
            </w:pPr>
            <w:r w:rsidRPr="00675794">
              <w:t>Purchasing and payables</w:t>
            </w:r>
          </w:p>
        </w:tc>
        <w:tc>
          <w:tcPr>
            <w:tcW w:w="3614" w:type="dxa"/>
            <w:shd w:val="clear" w:color="auto" w:fill="auto"/>
          </w:tcPr>
          <w:p w14:paraId="227948E3" w14:textId="77777777" w:rsidR="00D11197" w:rsidRPr="00D11197" w:rsidRDefault="00D11197" w:rsidP="00D11197">
            <w:pPr>
              <w:rPr>
                <w:rStyle w:val="Tabletext-red"/>
              </w:rPr>
            </w:pPr>
            <w:r w:rsidRPr="00675794">
              <w:rPr>
                <w:rStyle w:val="Tabletext-red"/>
              </w:rPr>
              <w:t>[example only]</w:t>
            </w:r>
          </w:p>
          <w:p w14:paraId="21EDE3C4" w14:textId="6CF81BB1" w:rsidR="00D11197" w:rsidRPr="00D11197" w:rsidRDefault="00D11197" w:rsidP="00D11197">
            <w:pPr>
              <w:pStyle w:val="Tabletext"/>
            </w:pPr>
            <w:r w:rsidRPr="00D30510">
              <w:t xml:space="preserve">The </w:t>
            </w:r>
            <w:r w:rsidRPr="00D11197">
              <w:t>[</w:t>
            </w:r>
            <w:r w:rsidRPr="00D11197">
              <w:rPr>
                <w:rStyle w:val="Italic"/>
              </w:rPr>
              <w:t>abbreviated name</w:t>
            </w:r>
            <w:r w:rsidRPr="00D11197">
              <w:t>] uses system X to initiate, process and record its purchasing transactions. Management relies on automated and IT</w:t>
            </w:r>
            <w:r w:rsidR="00F95062">
              <w:noBreakHyphen/>
            </w:r>
            <w:r w:rsidRPr="00D11197">
              <w:t>dependent manual controls to ensure that all valid purchasing transactions are processed and accurately recorded in accordance with the [</w:t>
            </w:r>
            <w:r w:rsidRPr="00D11197">
              <w:rPr>
                <w:rStyle w:val="Italic"/>
              </w:rPr>
              <w:t>abbreviated name</w:t>
            </w:r>
            <w:r w:rsidRPr="00D11197">
              <w:t>]’s policies.</w:t>
            </w:r>
          </w:p>
          <w:p w14:paraId="3E478BA1" w14:textId="77777777" w:rsidR="00D11197" w:rsidRPr="00D11197" w:rsidRDefault="00D11197" w:rsidP="00D11197">
            <w:pPr>
              <w:pStyle w:val="Tabletext"/>
            </w:pPr>
            <w:r w:rsidRPr="00675794">
              <w:t>During</w:t>
            </w:r>
            <w:r w:rsidRPr="00D11197">
              <w:t xml:space="preserve"> last year’s audit, we identified:</w:t>
            </w:r>
          </w:p>
          <w:p w14:paraId="59C46685" w14:textId="77777777" w:rsidR="00D11197" w:rsidRPr="00D11197" w:rsidRDefault="00D11197" w:rsidP="00D11197">
            <w:pPr>
              <w:pStyle w:val="Tablebullet"/>
            </w:pPr>
            <w:r w:rsidRPr="00675794">
              <w:t>instances whereby purchases were being processed without an approved purchase order. Management accepted the audit recommendation to review the current process and implement controls to ensure that all purchasing transactions are supported by an approved purchase order in accordance with the [</w:t>
            </w:r>
            <w:r w:rsidRPr="00D11197">
              <w:rPr>
                <w:rStyle w:val="Italic"/>
              </w:rPr>
              <w:t>abbreviated name</w:t>
            </w:r>
            <w:r w:rsidRPr="00D11197">
              <w:t>]’s policies. No other control weaknesses were identified as part of our operating effectiveness testing</w:t>
            </w:r>
          </w:p>
          <w:p w14:paraId="5E9DDDA6" w14:textId="35E28A33" w:rsidR="00D11197" w:rsidRPr="00D11197" w:rsidRDefault="00D11197" w:rsidP="00D11197">
            <w:pPr>
              <w:pStyle w:val="Tablebullet"/>
            </w:pPr>
            <w:r w:rsidRPr="00675794">
              <w:t>that material year</w:t>
            </w:r>
            <w:r w:rsidR="00F95062">
              <w:noBreakHyphen/>
            </w:r>
            <w:r w:rsidRPr="00D11197">
              <w:t>end accruals were not appropriately reviewed resulting in incorrect calculations and unaccrued invoices. Management accepted the audit recommendation to implement a review process for all year</w:t>
            </w:r>
            <w:r w:rsidR="00F95062">
              <w:noBreakHyphen/>
            </w:r>
            <w:r w:rsidRPr="00D11197">
              <w:t>end accruals prior to posting to the GL.</w:t>
            </w:r>
          </w:p>
        </w:tc>
        <w:tc>
          <w:tcPr>
            <w:tcW w:w="3615" w:type="dxa"/>
            <w:shd w:val="clear" w:color="auto" w:fill="auto"/>
          </w:tcPr>
          <w:p w14:paraId="694D0145" w14:textId="77777777" w:rsidR="00D11197" w:rsidRPr="00D11197" w:rsidRDefault="00D11197" w:rsidP="00D11197">
            <w:pPr>
              <w:rPr>
                <w:rStyle w:val="Tabletext-red"/>
              </w:rPr>
            </w:pPr>
            <w:r w:rsidRPr="00675794">
              <w:rPr>
                <w:rStyle w:val="Tabletext-red"/>
              </w:rPr>
              <w:t>[example only]</w:t>
            </w:r>
          </w:p>
          <w:p w14:paraId="4A369759" w14:textId="77777777" w:rsidR="00D11197" w:rsidRPr="00D11197" w:rsidRDefault="00D11197" w:rsidP="00D11197">
            <w:pPr>
              <w:pStyle w:val="Tabletext"/>
            </w:pPr>
            <w:r w:rsidRPr="00675794">
              <w:t xml:space="preserve">We will evaluate the design and implementation of relevant controls </w:t>
            </w:r>
            <w:r w:rsidRPr="00D11197">
              <w:t>with a plan to test their operating effectiveness. This will include assessing the controls management has implemented to ensure the [</w:t>
            </w:r>
            <w:r w:rsidRPr="00D11197">
              <w:rPr>
                <w:rStyle w:val="Italic"/>
              </w:rPr>
              <w:t>abbreviated name</w:t>
            </w:r>
            <w:r w:rsidRPr="00D11197">
              <w:t>]’s policies are complied with in relation to purchases supported by an approved purchase order.</w:t>
            </w:r>
          </w:p>
          <w:p w14:paraId="2B58FEA9" w14:textId="4EDC8637" w:rsidR="00D11197" w:rsidRPr="00D11197" w:rsidRDefault="00D11197" w:rsidP="00D11197">
            <w:pPr>
              <w:pStyle w:val="Tabletext"/>
            </w:pPr>
            <w:r w:rsidRPr="00675794">
              <w:t>To address our finding of inaccurate and incomplete year</w:t>
            </w:r>
            <w:r w:rsidR="00F95062">
              <w:noBreakHyphen/>
            </w:r>
            <w:r w:rsidRPr="00D11197">
              <w:t>end accruals, we will increase our planned level of substantive procedures to ensure the balances are materially stated.</w:t>
            </w:r>
          </w:p>
        </w:tc>
      </w:tr>
      <w:tr w:rsidR="00D11197" w:rsidRPr="00675794" w14:paraId="13CAD778" w14:textId="77777777" w:rsidTr="00C60F3E">
        <w:tc>
          <w:tcPr>
            <w:tcW w:w="1843" w:type="dxa"/>
            <w:shd w:val="clear" w:color="auto" w:fill="auto"/>
          </w:tcPr>
          <w:p w14:paraId="5DE2BAAE" w14:textId="77777777" w:rsidR="00D11197" w:rsidRPr="00D11197" w:rsidRDefault="00D11197" w:rsidP="00D11197">
            <w:pPr>
              <w:pStyle w:val="Tabletext"/>
            </w:pPr>
            <w:r w:rsidRPr="00675794">
              <w:t xml:space="preserve">Payroll </w:t>
            </w:r>
            <w:r w:rsidRPr="00D11197">
              <w:t>and related provisions</w:t>
            </w:r>
          </w:p>
        </w:tc>
        <w:tc>
          <w:tcPr>
            <w:tcW w:w="3614" w:type="dxa"/>
            <w:shd w:val="clear" w:color="auto" w:fill="auto"/>
          </w:tcPr>
          <w:p w14:paraId="5E208199" w14:textId="77777777" w:rsidR="00D11197" w:rsidRPr="00D11197" w:rsidRDefault="00D11197" w:rsidP="00D11197">
            <w:pPr>
              <w:rPr>
                <w:rStyle w:val="Tabletext-red"/>
              </w:rPr>
            </w:pPr>
            <w:r w:rsidRPr="00675794">
              <w:rPr>
                <w:rStyle w:val="Tabletext-red"/>
              </w:rPr>
              <w:t>[example only]</w:t>
            </w:r>
          </w:p>
          <w:p w14:paraId="2018A300" w14:textId="7D15D4F4" w:rsidR="00D11197" w:rsidRPr="00D11197" w:rsidRDefault="00D11197" w:rsidP="00D11197">
            <w:pPr>
              <w:pStyle w:val="Tabletext"/>
            </w:pPr>
            <w:r w:rsidRPr="00D30510">
              <w:t xml:space="preserve">The </w:t>
            </w:r>
            <w:r w:rsidRPr="00D11197">
              <w:t>[</w:t>
            </w:r>
            <w:r w:rsidRPr="00D11197">
              <w:rPr>
                <w:rStyle w:val="Italic"/>
              </w:rPr>
              <w:t>abbreviated name</w:t>
            </w:r>
            <w:r w:rsidRPr="00D11197">
              <w:t>] uses system Y to initiate, process and record payroll transactions. Management relies on automated and IT</w:t>
            </w:r>
            <w:r w:rsidR="00F95062">
              <w:noBreakHyphen/>
            </w:r>
            <w:r w:rsidRPr="00D11197">
              <w:t>dependent manual controls to ensure that all valid payroll transactions are processed and accurately recorded in accordance with the [</w:t>
            </w:r>
            <w:r w:rsidRPr="00D11197">
              <w:rPr>
                <w:rStyle w:val="Italic"/>
              </w:rPr>
              <w:t>abbreviated name</w:t>
            </w:r>
            <w:r w:rsidRPr="00D11197">
              <w:t>]’s policies.</w:t>
            </w:r>
          </w:p>
          <w:p w14:paraId="6C31F75C" w14:textId="77777777" w:rsidR="00D11197" w:rsidRPr="00D11197" w:rsidRDefault="00D11197" w:rsidP="00D11197">
            <w:pPr>
              <w:pStyle w:val="Tabletext"/>
            </w:pPr>
            <w:r w:rsidRPr="00675794">
              <w:t>During</w:t>
            </w:r>
            <w:r w:rsidRPr="00D11197">
              <w:t xml:space="preserve"> last year’s audit, we identified an instance where the staff member responsible for reviewing the audit log produced from system Y also has privileged access to the employee masterfile. This staff member is not in an administrator role for system Y. This control weakness existed for the full 201X–1Y financial year. Management accepted the audit recommendation to review the user access to system Y and ensure the access is commensurate with the role of the employee.</w:t>
            </w:r>
          </w:p>
          <w:p w14:paraId="53EB85BF" w14:textId="77777777" w:rsidR="00D11197" w:rsidRPr="00D11197" w:rsidRDefault="00D11197" w:rsidP="00D11197">
            <w:pPr>
              <w:pStyle w:val="Tabletext"/>
            </w:pPr>
            <w:r w:rsidRPr="000F5A68">
              <w:t xml:space="preserve">The </w:t>
            </w:r>
            <w:r w:rsidRPr="00D11197">
              <w:t>[</w:t>
            </w:r>
            <w:r w:rsidRPr="00D11197">
              <w:rPr>
                <w:rStyle w:val="Italic"/>
              </w:rPr>
              <w:t>abbreviated name</w:t>
            </w:r>
            <w:r w:rsidRPr="00D11197">
              <w:t xml:space="preserve">] intends engaging an [actuary] to calculate their long service leave (LSL) liabilities at </w:t>
            </w:r>
            <w:r w:rsidRPr="005920BA">
              <w:rPr>
                <w:i/>
              </w:rPr>
              <w:t>XX</w:t>
            </w:r>
            <w:r w:rsidRPr="00D11197">
              <w:t> Month 20</w:t>
            </w:r>
            <w:r w:rsidRPr="005920BA">
              <w:rPr>
                <w:i/>
              </w:rPr>
              <w:t>XX</w:t>
            </w:r>
            <w:r w:rsidRPr="00D11197">
              <w:t>.</w:t>
            </w:r>
          </w:p>
        </w:tc>
        <w:tc>
          <w:tcPr>
            <w:tcW w:w="3615" w:type="dxa"/>
            <w:shd w:val="clear" w:color="auto" w:fill="auto"/>
          </w:tcPr>
          <w:p w14:paraId="0D76DE03" w14:textId="77777777" w:rsidR="00D11197" w:rsidRPr="00D11197" w:rsidRDefault="00D11197" w:rsidP="00D11197">
            <w:pPr>
              <w:rPr>
                <w:rStyle w:val="Tabletext-red"/>
              </w:rPr>
            </w:pPr>
            <w:r w:rsidRPr="00675794">
              <w:rPr>
                <w:rStyle w:val="Tabletext-red"/>
              </w:rPr>
              <w:t>[example only]</w:t>
            </w:r>
          </w:p>
          <w:p w14:paraId="242FC29A" w14:textId="543676AB" w:rsidR="00D11197" w:rsidRPr="00D11197" w:rsidRDefault="00D11197" w:rsidP="00D11197">
            <w:pPr>
              <w:pStyle w:val="Tabletext"/>
            </w:pPr>
            <w:r w:rsidRPr="00675794">
              <w:t>Our initial discussions with management highlighted that they ha</w:t>
            </w:r>
            <w:r w:rsidRPr="00D11197">
              <w:t>d performed a user access review and restricted masterfile access to that of the administrator role of system Y. This was implemented in</w:t>
            </w:r>
            <w:r w:rsidR="00F95062">
              <w:t> August </w:t>
            </w:r>
            <w:r w:rsidRPr="00D11197">
              <w:t>201X. As a result, there is a period of inappropriate segregation of duties during the year under audit.</w:t>
            </w:r>
          </w:p>
          <w:p w14:paraId="5749598C" w14:textId="77777777" w:rsidR="00D11197" w:rsidRPr="00D11197" w:rsidRDefault="00D11197" w:rsidP="00D11197">
            <w:pPr>
              <w:pStyle w:val="Tabletext"/>
            </w:pPr>
            <w:r w:rsidRPr="00675794">
              <w:t>We will evaluate the design and implementation of relevant controls within the payroll process and assess the impact of the segregation of duties issues on our planned audit approach. We plan to perform a combination of controls and substantive procedures to provide assurance that the payroll balances are materially stated.</w:t>
            </w:r>
          </w:p>
          <w:p w14:paraId="33FD3444" w14:textId="77777777" w:rsidR="00D11197" w:rsidRPr="00D11197" w:rsidRDefault="00D11197" w:rsidP="00D11197">
            <w:pPr>
              <w:pStyle w:val="Tabletext"/>
            </w:pPr>
            <w:r>
              <w:t>We will review the work of the actuary, including assessing their qualifications and experience in calculating LSL liabilities. Our review will focus on the key inputs, judgements and assumptions used in the [actuary’s] calculations.</w:t>
            </w:r>
          </w:p>
        </w:tc>
      </w:tr>
      <w:tr w:rsidR="00D11197" w:rsidRPr="00675794" w14:paraId="1457DD88" w14:textId="77777777" w:rsidTr="00C60F3E">
        <w:tc>
          <w:tcPr>
            <w:tcW w:w="1843" w:type="dxa"/>
            <w:shd w:val="clear" w:color="auto" w:fill="auto"/>
          </w:tcPr>
          <w:p w14:paraId="67B8C400" w14:textId="77777777" w:rsidR="00D11197" w:rsidRPr="00D11197" w:rsidRDefault="00D11197" w:rsidP="00D11197">
            <w:pPr>
              <w:pStyle w:val="Tabletext"/>
            </w:pPr>
            <w:r w:rsidRPr="00675794">
              <w:t>Revenue and receivables</w:t>
            </w:r>
          </w:p>
        </w:tc>
        <w:tc>
          <w:tcPr>
            <w:tcW w:w="3614" w:type="dxa"/>
            <w:shd w:val="clear" w:color="auto" w:fill="auto"/>
          </w:tcPr>
          <w:p w14:paraId="364410B0" w14:textId="77777777" w:rsidR="00D11197" w:rsidRPr="00D11197" w:rsidRDefault="00D11197" w:rsidP="00D11197">
            <w:pPr>
              <w:pStyle w:val="Tabletext"/>
            </w:pPr>
            <w:r w:rsidRPr="00675794">
              <w:t>[</w:t>
            </w:r>
            <w:r w:rsidRPr="00D11197">
              <w:rPr>
                <w:rStyle w:val="Italic"/>
              </w:rPr>
              <w:t>Insert details</w:t>
            </w:r>
            <w:r w:rsidRPr="00D11197">
              <w:t>]</w:t>
            </w:r>
          </w:p>
        </w:tc>
        <w:tc>
          <w:tcPr>
            <w:tcW w:w="3615" w:type="dxa"/>
            <w:shd w:val="clear" w:color="auto" w:fill="auto"/>
          </w:tcPr>
          <w:p w14:paraId="6C40FDDC" w14:textId="77777777" w:rsidR="00D11197" w:rsidRPr="00D11197" w:rsidRDefault="00D11197" w:rsidP="00D11197">
            <w:pPr>
              <w:pStyle w:val="Tabletext"/>
            </w:pPr>
            <w:r w:rsidRPr="00675794">
              <w:t>[</w:t>
            </w:r>
            <w:r w:rsidRPr="00D11197">
              <w:rPr>
                <w:rStyle w:val="Italic"/>
              </w:rPr>
              <w:t>Insert details</w:t>
            </w:r>
            <w:r w:rsidRPr="00D11197">
              <w:t>]</w:t>
            </w:r>
          </w:p>
        </w:tc>
      </w:tr>
      <w:tr w:rsidR="00D11197" w:rsidRPr="00675794" w14:paraId="10CAE851" w14:textId="77777777" w:rsidTr="00C60F3E">
        <w:tc>
          <w:tcPr>
            <w:tcW w:w="1843" w:type="dxa"/>
            <w:shd w:val="clear" w:color="auto" w:fill="auto"/>
          </w:tcPr>
          <w:p w14:paraId="09DA6095" w14:textId="487371A9" w:rsidR="00D11197" w:rsidRPr="00D11197" w:rsidRDefault="00F95062" w:rsidP="00D11197">
            <w:pPr>
              <w:pStyle w:val="Tabletext"/>
            </w:pPr>
            <w:r>
              <w:t>Treasury</w:t>
            </w:r>
            <w:r w:rsidR="00D11197" w:rsidRPr="00D11197">
              <w:t xml:space="preserve"> (cash, investments and borrowings)</w:t>
            </w:r>
          </w:p>
        </w:tc>
        <w:tc>
          <w:tcPr>
            <w:tcW w:w="3614" w:type="dxa"/>
            <w:shd w:val="clear" w:color="auto" w:fill="auto"/>
          </w:tcPr>
          <w:p w14:paraId="19B7F41F" w14:textId="77777777" w:rsidR="00D11197" w:rsidRPr="00D11197" w:rsidRDefault="00D11197" w:rsidP="00D11197">
            <w:pPr>
              <w:pStyle w:val="Tabletext"/>
            </w:pPr>
            <w:r w:rsidRPr="00675794">
              <w:t>[</w:t>
            </w:r>
            <w:r w:rsidRPr="00D11197">
              <w:rPr>
                <w:rStyle w:val="Italic"/>
              </w:rPr>
              <w:t>Insert details</w:t>
            </w:r>
            <w:r w:rsidRPr="00D11197">
              <w:t>]</w:t>
            </w:r>
          </w:p>
        </w:tc>
        <w:tc>
          <w:tcPr>
            <w:tcW w:w="3615" w:type="dxa"/>
            <w:shd w:val="clear" w:color="auto" w:fill="auto"/>
          </w:tcPr>
          <w:p w14:paraId="411D0162" w14:textId="77777777" w:rsidR="00D11197" w:rsidRPr="00D11197" w:rsidRDefault="00D11197" w:rsidP="00D11197">
            <w:pPr>
              <w:pStyle w:val="Tabletext"/>
            </w:pPr>
            <w:r w:rsidRPr="00675794">
              <w:t>[</w:t>
            </w:r>
            <w:r w:rsidRPr="00D11197">
              <w:rPr>
                <w:rStyle w:val="Italic"/>
              </w:rPr>
              <w:t>Insert details</w:t>
            </w:r>
            <w:r w:rsidRPr="00D11197">
              <w:t>]</w:t>
            </w:r>
          </w:p>
        </w:tc>
      </w:tr>
      <w:tr w:rsidR="00D11197" w:rsidRPr="00675794" w14:paraId="3D06F02D" w14:textId="77777777" w:rsidTr="00C60F3E">
        <w:tc>
          <w:tcPr>
            <w:tcW w:w="1843" w:type="dxa"/>
            <w:shd w:val="clear" w:color="auto" w:fill="auto"/>
          </w:tcPr>
          <w:p w14:paraId="533F2B7D" w14:textId="77777777" w:rsidR="00D11197" w:rsidRPr="00D11197" w:rsidRDefault="00D11197" w:rsidP="00D11197">
            <w:pPr>
              <w:pStyle w:val="Tabletext"/>
            </w:pPr>
            <w:r w:rsidRPr="00675794">
              <w:t>Inventory</w:t>
            </w:r>
            <w:r w:rsidRPr="00D11197">
              <w:t xml:space="preserve"> and cost of sales</w:t>
            </w:r>
          </w:p>
        </w:tc>
        <w:tc>
          <w:tcPr>
            <w:tcW w:w="3614" w:type="dxa"/>
            <w:shd w:val="clear" w:color="auto" w:fill="auto"/>
          </w:tcPr>
          <w:p w14:paraId="39743FDD" w14:textId="77777777" w:rsidR="00D11197" w:rsidRPr="00D11197" w:rsidRDefault="00D11197" w:rsidP="00D11197">
            <w:pPr>
              <w:pStyle w:val="Tabletext"/>
            </w:pPr>
            <w:r w:rsidRPr="00675794">
              <w:t>[</w:t>
            </w:r>
            <w:r w:rsidRPr="00D11197">
              <w:rPr>
                <w:rStyle w:val="Italic"/>
              </w:rPr>
              <w:t>Insert details</w:t>
            </w:r>
            <w:r w:rsidRPr="00D11197">
              <w:t>]</w:t>
            </w:r>
          </w:p>
        </w:tc>
        <w:tc>
          <w:tcPr>
            <w:tcW w:w="3615" w:type="dxa"/>
            <w:shd w:val="clear" w:color="auto" w:fill="auto"/>
          </w:tcPr>
          <w:p w14:paraId="3BC2D8E0" w14:textId="77777777" w:rsidR="00D11197" w:rsidRPr="00D11197" w:rsidRDefault="00D11197" w:rsidP="00D11197">
            <w:pPr>
              <w:pStyle w:val="Tabletext"/>
            </w:pPr>
            <w:r w:rsidRPr="00675794">
              <w:t>[</w:t>
            </w:r>
            <w:r w:rsidRPr="00D11197">
              <w:rPr>
                <w:rStyle w:val="Italic"/>
              </w:rPr>
              <w:t>Insert details</w:t>
            </w:r>
            <w:r w:rsidRPr="00D11197">
              <w:t>]</w:t>
            </w:r>
          </w:p>
        </w:tc>
      </w:tr>
      <w:tr w:rsidR="00D11197" w:rsidRPr="00675794" w14:paraId="5D707A83" w14:textId="77777777" w:rsidTr="00C60F3E">
        <w:tc>
          <w:tcPr>
            <w:tcW w:w="1843" w:type="dxa"/>
            <w:shd w:val="clear" w:color="auto" w:fill="auto"/>
          </w:tcPr>
          <w:p w14:paraId="4E38D047" w14:textId="77777777" w:rsidR="00D11197" w:rsidRPr="00D11197" w:rsidRDefault="00D11197" w:rsidP="00D11197">
            <w:pPr>
              <w:pStyle w:val="Tabletext"/>
            </w:pPr>
            <w:r w:rsidRPr="00675794">
              <w:t>Property, plant and equipment and depreciation</w:t>
            </w:r>
          </w:p>
        </w:tc>
        <w:tc>
          <w:tcPr>
            <w:tcW w:w="3614" w:type="dxa"/>
            <w:shd w:val="clear" w:color="auto" w:fill="auto"/>
          </w:tcPr>
          <w:p w14:paraId="749B1D24" w14:textId="77777777" w:rsidR="00D11197" w:rsidRPr="00D11197" w:rsidRDefault="00D11197" w:rsidP="00D11197">
            <w:pPr>
              <w:pStyle w:val="Tabletext"/>
            </w:pPr>
            <w:r w:rsidRPr="00675794">
              <w:t>[</w:t>
            </w:r>
            <w:r w:rsidRPr="00D11197">
              <w:rPr>
                <w:rStyle w:val="Italic"/>
              </w:rPr>
              <w:t>Insert details</w:t>
            </w:r>
            <w:r w:rsidRPr="00D11197">
              <w:t>]</w:t>
            </w:r>
          </w:p>
        </w:tc>
        <w:tc>
          <w:tcPr>
            <w:tcW w:w="3615" w:type="dxa"/>
            <w:shd w:val="clear" w:color="auto" w:fill="auto"/>
          </w:tcPr>
          <w:p w14:paraId="7DB9D6C0" w14:textId="77777777" w:rsidR="00D11197" w:rsidRPr="00D11197" w:rsidRDefault="00D11197" w:rsidP="00D11197">
            <w:pPr>
              <w:pStyle w:val="Tabletext"/>
            </w:pPr>
            <w:r w:rsidRPr="00675794">
              <w:t>[</w:t>
            </w:r>
            <w:r w:rsidRPr="00D11197">
              <w:rPr>
                <w:rStyle w:val="Italic"/>
              </w:rPr>
              <w:t>Insert details</w:t>
            </w:r>
            <w:r w:rsidRPr="00D11197">
              <w:t>]</w:t>
            </w:r>
          </w:p>
        </w:tc>
      </w:tr>
      <w:tr w:rsidR="00D11197" w:rsidRPr="00675794" w14:paraId="46E9849C" w14:textId="77777777" w:rsidTr="00C60F3E">
        <w:tc>
          <w:tcPr>
            <w:tcW w:w="1843" w:type="dxa"/>
            <w:shd w:val="clear" w:color="auto" w:fill="auto"/>
          </w:tcPr>
          <w:p w14:paraId="3F18C9AF" w14:textId="77777777" w:rsidR="00D11197" w:rsidRPr="00D11197" w:rsidRDefault="00D11197" w:rsidP="00D11197">
            <w:pPr>
              <w:pStyle w:val="Tabletext"/>
            </w:pPr>
            <w:r w:rsidRPr="00675794">
              <w:t>Intangibles and amortisation</w:t>
            </w:r>
          </w:p>
        </w:tc>
        <w:tc>
          <w:tcPr>
            <w:tcW w:w="3614" w:type="dxa"/>
            <w:shd w:val="clear" w:color="auto" w:fill="auto"/>
          </w:tcPr>
          <w:p w14:paraId="34FE0D1A" w14:textId="77777777" w:rsidR="00D11197" w:rsidRPr="00D11197" w:rsidRDefault="00D11197" w:rsidP="00D11197">
            <w:pPr>
              <w:pStyle w:val="Tabletext"/>
            </w:pPr>
            <w:r w:rsidRPr="00675794">
              <w:t>[</w:t>
            </w:r>
            <w:r w:rsidRPr="00D11197">
              <w:rPr>
                <w:rStyle w:val="Italic"/>
              </w:rPr>
              <w:t>Insert details</w:t>
            </w:r>
            <w:r w:rsidRPr="00D11197">
              <w:t>]</w:t>
            </w:r>
          </w:p>
        </w:tc>
        <w:tc>
          <w:tcPr>
            <w:tcW w:w="3615" w:type="dxa"/>
            <w:shd w:val="clear" w:color="auto" w:fill="auto"/>
          </w:tcPr>
          <w:p w14:paraId="11495FB6" w14:textId="77777777" w:rsidR="00D11197" w:rsidRPr="00D11197" w:rsidRDefault="00D11197" w:rsidP="00D11197">
            <w:pPr>
              <w:pStyle w:val="Tabletext"/>
            </w:pPr>
            <w:r w:rsidRPr="00675794">
              <w:t>[</w:t>
            </w:r>
            <w:r w:rsidRPr="00D11197">
              <w:rPr>
                <w:rStyle w:val="Italic"/>
              </w:rPr>
              <w:t>Insert details</w:t>
            </w:r>
            <w:r w:rsidRPr="00D11197">
              <w:t>]</w:t>
            </w:r>
          </w:p>
        </w:tc>
      </w:tr>
      <w:tr w:rsidR="00D11197" w:rsidRPr="00675794" w14:paraId="6FAE6C62" w14:textId="77777777" w:rsidTr="00C60F3E">
        <w:tc>
          <w:tcPr>
            <w:tcW w:w="1843" w:type="dxa"/>
            <w:shd w:val="clear" w:color="auto" w:fill="auto"/>
          </w:tcPr>
          <w:p w14:paraId="0791370E" w14:textId="0FDC3DAF" w:rsidR="00D11197" w:rsidRPr="00D11197" w:rsidRDefault="00D11197" w:rsidP="00D11197">
            <w:pPr>
              <w:pStyle w:val="Tabletext"/>
            </w:pPr>
            <w:r>
              <w:t>Other year</w:t>
            </w:r>
            <w:r w:rsidR="00F95062">
              <w:noBreakHyphen/>
            </w:r>
            <w:r>
              <w:t>end reporting adjustments</w:t>
            </w:r>
          </w:p>
        </w:tc>
        <w:tc>
          <w:tcPr>
            <w:tcW w:w="3614" w:type="dxa"/>
            <w:shd w:val="clear" w:color="auto" w:fill="auto"/>
          </w:tcPr>
          <w:p w14:paraId="68F9DA84" w14:textId="77777777" w:rsidR="00D11197" w:rsidRPr="00D11197" w:rsidRDefault="00D11197" w:rsidP="00D11197">
            <w:pPr>
              <w:rPr>
                <w:rStyle w:val="Tabletext-red"/>
              </w:rPr>
            </w:pPr>
            <w:r w:rsidRPr="00675794">
              <w:rPr>
                <w:rStyle w:val="Tabletext-red"/>
              </w:rPr>
              <w:t>[example only]</w:t>
            </w:r>
          </w:p>
          <w:p w14:paraId="5440F044" w14:textId="77777777" w:rsidR="00D11197" w:rsidRPr="00D11197" w:rsidRDefault="00D11197" w:rsidP="00D11197">
            <w:pPr>
              <w:pStyle w:val="Tabletext"/>
            </w:pPr>
            <w:r w:rsidRPr="000F5A68">
              <w:t xml:space="preserve">The </w:t>
            </w:r>
            <w:r w:rsidRPr="00D11197">
              <w:t>[</w:t>
            </w:r>
            <w:r w:rsidRPr="00D11197">
              <w:rPr>
                <w:rStyle w:val="Italic"/>
              </w:rPr>
              <w:t>abbreviated name</w:t>
            </w:r>
            <w:r w:rsidRPr="00D11197">
              <w:t>] periodically updates their provision for legal claims.</w:t>
            </w:r>
          </w:p>
          <w:p w14:paraId="5A4E3346" w14:textId="77777777" w:rsidR="00D11197" w:rsidRPr="00D11197" w:rsidRDefault="00D11197" w:rsidP="00D11197">
            <w:pPr>
              <w:pStyle w:val="Tabletext"/>
            </w:pPr>
            <w:r>
              <w:t>Management</w:t>
            </w:r>
            <w:r w:rsidRPr="00D11197">
              <w:t xml:space="preserve"> intends to seek the advice of their legal counsel to calculate the amount required to settle the obligation at </w:t>
            </w:r>
            <w:r w:rsidRPr="005920BA">
              <w:rPr>
                <w:i/>
              </w:rPr>
              <w:t>XX</w:t>
            </w:r>
            <w:r w:rsidRPr="00D11197">
              <w:t> Month 20</w:t>
            </w:r>
            <w:r w:rsidRPr="005920BA">
              <w:rPr>
                <w:i/>
              </w:rPr>
              <w:t>XX</w:t>
            </w:r>
            <w:r w:rsidRPr="00D11197">
              <w:t>.</w:t>
            </w:r>
          </w:p>
        </w:tc>
        <w:tc>
          <w:tcPr>
            <w:tcW w:w="3615" w:type="dxa"/>
            <w:shd w:val="clear" w:color="auto" w:fill="auto"/>
          </w:tcPr>
          <w:p w14:paraId="0511E4B7" w14:textId="77777777" w:rsidR="00D11197" w:rsidRPr="00D11197" w:rsidRDefault="00D11197" w:rsidP="00D11197">
            <w:pPr>
              <w:rPr>
                <w:rStyle w:val="Tabletext-red"/>
              </w:rPr>
            </w:pPr>
            <w:r w:rsidRPr="00675794">
              <w:rPr>
                <w:rStyle w:val="Tabletext-red"/>
              </w:rPr>
              <w:t>[example only]</w:t>
            </w:r>
          </w:p>
          <w:p w14:paraId="1A80039E" w14:textId="0F371B86" w:rsidR="00D11197" w:rsidRPr="00D11197" w:rsidRDefault="00D11197" w:rsidP="00D11197">
            <w:pPr>
              <w:pStyle w:val="Tabletext"/>
            </w:pPr>
            <w:r>
              <w:t xml:space="preserve">We will review management’s calculation of the amount expected to settle the legal claim at </w:t>
            </w:r>
            <w:r w:rsidRPr="005920BA">
              <w:rPr>
                <w:i/>
              </w:rPr>
              <w:t>XX</w:t>
            </w:r>
            <w:r>
              <w:t> Month 20</w:t>
            </w:r>
            <w:r w:rsidRPr="005920BA">
              <w:rPr>
                <w:i/>
              </w:rPr>
              <w:t>XX</w:t>
            </w:r>
            <w:r>
              <w:t xml:space="preserve"> and ensure the financial statement disclosures are appropriate. Our review will focus on the judgements and assumpti</w:t>
            </w:r>
            <w:r w:rsidRPr="00D11197">
              <w:t>ons used in management’s calculations.</w:t>
            </w:r>
          </w:p>
          <w:p w14:paraId="3C1794A6" w14:textId="77777777" w:rsidR="00D11197" w:rsidRPr="00D11197" w:rsidRDefault="00D11197" w:rsidP="00D11197">
            <w:pPr>
              <w:pStyle w:val="Tabletext"/>
            </w:pPr>
            <w:r w:rsidRPr="00AE38B2">
              <w:t>We will co</w:t>
            </w:r>
            <w:r w:rsidRPr="00D11197">
              <w:t>mmunicate with [</w:t>
            </w:r>
            <w:r w:rsidRPr="00D11197">
              <w:rPr>
                <w:rStyle w:val="Italic"/>
              </w:rPr>
              <w:t>abbreviated name</w:t>
            </w:r>
            <w:r w:rsidRPr="00D11197">
              <w:t>]’s legal counsel to confirm the reasonableness of management’s calculation of the amount expected to settle the legal claim.</w:t>
            </w:r>
          </w:p>
        </w:tc>
      </w:tr>
      <w:tr w:rsidR="00D11197" w:rsidRPr="00675794" w14:paraId="1D093559" w14:textId="77777777" w:rsidTr="00C60F3E">
        <w:tc>
          <w:tcPr>
            <w:tcW w:w="1843" w:type="dxa"/>
            <w:shd w:val="clear" w:color="auto" w:fill="auto"/>
          </w:tcPr>
          <w:p w14:paraId="1180E1C4" w14:textId="77777777" w:rsidR="00D11197" w:rsidRPr="00D11197" w:rsidRDefault="00D11197" w:rsidP="00D11197">
            <w:pPr>
              <w:pStyle w:val="Tabletext"/>
            </w:pPr>
            <w:r w:rsidRPr="00675794">
              <w:t>[</w:t>
            </w:r>
            <w:r w:rsidRPr="00D11197">
              <w:rPr>
                <w:rStyle w:val="Italic"/>
              </w:rPr>
              <w:t>add name of additional business processes</w:t>
            </w:r>
            <w:r w:rsidRPr="00D11197">
              <w:t>]</w:t>
            </w:r>
          </w:p>
        </w:tc>
        <w:tc>
          <w:tcPr>
            <w:tcW w:w="3614" w:type="dxa"/>
            <w:shd w:val="clear" w:color="auto" w:fill="auto"/>
          </w:tcPr>
          <w:p w14:paraId="1861E0EA" w14:textId="77777777" w:rsidR="00D11197" w:rsidRPr="00D11197" w:rsidRDefault="00D11197" w:rsidP="00D11197">
            <w:pPr>
              <w:pStyle w:val="Tabletext"/>
            </w:pPr>
            <w:r w:rsidRPr="00675794">
              <w:t>[</w:t>
            </w:r>
            <w:r w:rsidRPr="00D11197">
              <w:rPr>
                <w:rStyle w:val="Italic"/>
              </w:rPr>
              <w:t>Insert details</w:t>
            </w:r>
            <w:r w:rsidRPr="00D11197">
              <w:t>]</w:t>
            </w:r>
          </w:p>
        </w:tc>
        <w:tc>
          <w:tcPr>
            <w:tcW w:w="3615" w:type="dxa"/>
            <w:shd w:val="clear" w:color="auto" w:fill="auto"/>
          </w:tcPr>
          <w:p w14:paraId="7DFE3A22" w14:textId="77777777" w:rsidR="00D11197" w:rsidRPr="00D11197" w:rsidRDefault="00D11197" w:rsidP="00D11197">
            <w:pPr>
              <w:pStyle w:val="Tabletext"/>
            </w:pPr>
            <w:r w:rsidRPr="00675794">
              <w:t>[</w:t>
            </w:r>
            <w:r w:rsidRPr="00D11197">
              <w:rPr>
                <w:rStyle w:val="Italic"/>
              </w:rPr>
              <w:t>Insert details</w:t>
            </w:r>
            <w:r w:rsidRPr="00D11197">
              <w:t>]</w:t>
            </w:r>
          </w:p>
        </w:tc>
      </w:tr>
    </w:tbl>
    <w:p w14:paraId="055048B7" w14:textId="77777777" w:rsidR="00D11197" w:rsidRDefault="00D11197" w:rsidP="00D11197">
      <w:pPr>
        <w:pStyle w:val="SingleLineText-Half"/>
      </w:pPr>
    </w:p>
    <w:p w14:paraId="74023C7D" w14:textId="77777777" w:rsidR="00D11197" w:rsidRPr="00675794" w:rsidRDefault="00D11197" w:rsidP="00D11197">
      <w:pPr>
        <w:pStyle w:val="Heading2"/>
      </w:pPr>
      <w:r w:rsidRPr="00675794">
        <w:t>Involvement of Information Systems Audit specialists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9070"/>
      </w:tblGrid>
      <w:tr w:rsidR="00D11197" w:rsidRPr="00C66127" w:rsidDel="00A85A4F" w14:paraId="2B74A40B" w14:textId="77777777" w:rsidTr="00C60F3E">
        <w:tc>
          <w:tcPr>
            <w:tcW w:w="5000" w:type="pct"/>
            <w:shd w:val="clear" w:color="auto" w:fill="D9D9D9" w:themeFill="background1" w:themeFillShade="D9"/>
          </w:tcPr>
          <w:p w14:paraId="14D78777" w14:textId="77777777" w:rsidR="00D11197" w:rsidRPr="00D11197" w:rsidDel="00A85A4F" w:rsidRDefault="00D11197" w:rsidP="00D11197">
            <w:pPr>
              <w:pStyle w:val="Tabletext"/>
              <w:rPr>
                <w:rStyle w:val="Bold"/>
              </w:rPr>
            </w:pPr>
            <w:r w:rsidRPr="00C66127">
              <w:rPr>
                <w:rStyle w:val="Bold"/>
              </w:rPr>
              <w:t>Include the following if the audit strategy includes IS Audit</w:t>
            </w:r>
            <w:r w:rsidRPr="00D11197" w:rsidDel="00A85A4F">
              <w:rPr>
                <w:rStyle w:val="Bold"/>
              </w:rPr>
              <w:t xml:space="preserve">. </w:t>
            </w:r>
            <w:r w:rsidRPr="00D11197">
              <w:rPr>
                <w:rStyle w:val="Bold"/>
              </w:rPr>
              <w:t>The audit team should consult IS Audit and include significant matters in the AEP, such as the coverage of application controls and general IT controls.</w:t>
            </w:r>
          </w:p>
        </w:tc>
      </w:tr>
    </w:tbl>
    <w:p w14:paraId="34C5FC3C" w14:textId="77777777" w:rsidR="00D11197" w:rsidRPr="00675794" w:rsidRDefault="00D11197" w:rsidP="00D11197">
      <w:pPr>
        <w:pStyle w:val="BodyText"/>
      </w:pPr>
    </w:p>
    <w:p w14:paraId="2A6A5327" w14:textId="77777777" w:rsidR="00D11197" w:rsidRPr="00675794" w:rsidRDefault="00D11197" w:rsidP="00D11197">
      <w:pPr>
        <w:pStyle w:val="BodyText"/>
      </w:pPr>
      <w:r w:rsidRPr="00675794">
        <w:t>This year, the audit team and the IS audit specialists will focus on:</w:t>
      </w:r>
    </w:p>
    <w:p w14:paraId="4C04D257" w14:textId="77777777" w:rsidR="00D11197" w:rsidRPr="00BC25FF" w:rsidRDefault="00D11197" w:rsidP="00D11197">
      <w:pPr>
        <w:pStyle w:val="Bullet1stlevel"/>
      </w:pPr>
      <w:r w:rsidRPr="00675794">
        <w:t>[</w:t>
      </w:r>
      <w:r w:rsidRPr="00BC25FF">
        <w:rPr>
          <w:rStyle w:val="Italic"/>
        </w:rPr>
        <w:t>list each application system</w:t>
      </w:r>
      <w:r w:rsidRPr="00BC25FF">
        <w:t>].</w:t>
      </w:r>
    </w:p>
    <w:p w14:paraId="70061EE8" w14:textId="77777777" w:rsidR="00D11197" w:rsidRDefault="00D11197" w:rsidP="00D11197">
      <w:pPr>
        <w:pStyle w:val="BodyText"/>
      </w:pPr>
    </w:p>
    <w:p w14:paraId="35DC992D" w14:textId="77777777" w:rsidR="00D11197" w:rsidRDefault="00D11197" w:rsidP="00D11197">
      <w:pPr>
        <w:pStyle w:val="SingleLineText-Half"/>
        <w:sectPr w:rsidR="00D11197" w:rsidSect="00C60F3E">
          <w:pgSz w:w="11907" w:h="16840" w:code="9"/>
          <w:pgMar w:top="1418" w:right="1418" w:bottom="1134" w:left="1418" w:header="720" w:footer="720" w:gutter="0"/>
          <w:cols w:space="708"/>
          <w:docGrid w:linePitch="360"/>
        </w:sectPr>
      </w:pPr>
    </w:p>
    <w:p w14:paraId="6AED2697" w14:textId="77777777" w:rsidR="00D11197" w:rsidRPr="00BC25FF" w:rsidRDefault="00D11197" w:rsidP="0063146B">
      <w:pPr>
        <w:pStyle w:val="Heading1Red"/>
      </w:pPr>
      <w:bookmarkStart w:id="501" w:name="_Toc14249455"/>
      <w:r>
        <w:t>APPENDIX TWO – FINANCIAL REPORTING DEVELOPMENTS</w:t>
      </w:r>
      <w:bookmarkEnd w:id="501"/>
    </w:p>
    <w:p w14:paraId="26EE677E" w14:textId="77777777" w:rsidR="00D11197" w:rsidRDefault="00D11197" w:rsidP="00D11197">
      <w:pPr>
        <w:pStyle w:val="Heading2"/>
      </w:pPr>
      <w:r>
        <w:t>New accounting standards</w:t>
      </w:r>
    </w:p>
    <w:p w14:paraId="23051156" w14:textId="77777777" w:rsidR="00D11197" w:rsidRPr="00675794" w:rsidRDefault="00D11197" w:rsidP="00D11197">
      <w:pPr>
        <w:pStyle w:val="Heading-LeftSmall"/>
      </w:pPr>
      <w:r w:rsidRPr="00675794">
        <w:t>AASB 15 ‘Revenue from Contracts with Customers’</w:t>
      </w:r>
    </w:p>
    <w:p w14:paraId="1476CB70" w14:textId="502798F4" w:rsidR="00D11197" w:rsidRPr="00675794" w:rsidRDefault="00D11197" w:rsidP="00D11197">
      <w:pPr>
        <w:pStyle w:val="BodyText"/>
      </w:pPr>
      <w:r w:rsidRPr="00675794">
        <w:t>AASB 15 introduces a new five step</w:t>
      </w:r>
      <w:r w:rsidR="00F95062">
        <w:noBreakHyphen/>
      </w:r>
      <w:r w:rsidRPr="00675794">
        <w:t>model for recognising revenue based on the principle that revenue is recognised when control of a good or service transfers to a customer. AASB 15 may impact the timing and amount of revenue recorded in [</w:t>
      </w:r>
      <w:r>
        <w:t>NSW public sector entities</w:t>
      </w:r>
      <w:r w:rsidRPr="00675794">
        <w:t>’/</w:t>
      </w:r>
      <w:r>
        <w:t>universities’ and their subsidiaries</w:t>
      </w:r>
      <w:r w:rsidRPr="00675794">
        <w:t>’] financial statements, particularly for grant revenue. AASB 15 also increases the amount of disclosures required.</w:t>
      </w:r>
    </w:p>
    <w:tbl>
      <w:tblPr>
        <w:tblStyle w:val="TableGrid"/>
        <w:tblW w:w="9070" w:type="dxa"/>
        <w:tblLook w:val="04A0" w:firstRow="1" w:lastRow="0" w:firstColumn="1" w:lastColumn="0" w:noHBand="0" w:noVBand="1"/>
      </w:tblPr>
      <w:tblGrid>
        <w:gridCol w:w="9070"/>
      </w:tblGrid>
      <w:tr w:rsidR="00D11197" w:rsidRPr="00682B01" w14:paraId="122FAB16" w14:textId="77777777" w:rsidTr="00C60F3E">
        <w:tc>
          <w:tcPr>
            <w:tcW w:w="9060" w:type="dxa"/>
            <w:shd w:val="clear" w:color="auto" w:fill="D9D9D9" w:themeFill="background1" w:themeFillShade="D9"/>
          </w:tcPr>
          <w:p w14:paraId="2C674E32" w14:textId="77777777" w:rsidR="00D11197" w:rsidRPr="00D11197" w:rsidRDefault="00D11197" w:rsidP="00D11197">
            <w:pPr>
              <w:pStyle w:val="Tabletext"/>
              <w:rPr>
                <w:rStyle w:val="Bold"/>
              </w:rPr>
            </w:pPr>
            <w:r w:rsidRPr="00B4132F">
              <w:rPr>
                <w:rStyle w:val="Bold"/>
              </w:rPr>
              <w:t>Select the appropriate option</w:t>
            </w:r>
          </w:p>
        </w:tc>
      </w:tr>
    </w:tbl>
    <w:p w14:paraId="49C31314" w14:textId="77777777" w:rsidR="00D11197" w:rsidRPr="00675794" w:rsidRDefault="00D11197" w:rsidP="00D11197">
      <w:pPr>
        <w:pStyle w:val="BodyText"/>
      </w:pPr>
    </w:p>
    <w:p w14:paraId="5BBFC6EC" w14:textId="568BFF35" w:rsidR="00D11197" w:rsidRPr="00174BEC" w:rsidRDefault="00D11197" w:rsidP="00D11197">
      <w:pPr>
        <w:pStyle w:val="BodyText"/>
      </w:pPr>
      <w:r w:rsidRPr="00174BEC">
        <w:t>AASB 15 is effective for not</w:t>
      </w:r>
      <w:r w:rsidR="00F95062">
        <w:noBreakHyphen/>
      </w:r>
      <w:r w:rsidRPr="00174BEC">
        <w:t>for</w:t>
      </w:r>
      <w:r w:rsidR="00F95062">
        <w:noBreakHyphen/>
      </w:r>
      <w:r w:rsidRPr="00174BEC">
        <w:t>profit entities for financial years beginning on or after 1</w:t>
      </w:r>
      <w:r w:rsidR="00F95062">
        <w:t> January </w:t>
      </w:r>
      <w:r w:rsidRPr="00174BEC">
        <w:t>2019. The [</w:t>
      </w:r>
      <w:r w:rsidRPr="005920BA">
        <w:rPr>
          <w:i/>
        </w:rPr>
        <w:t>abbreviated name</w:t>
      </w:r>
      <w:r w:rsidRPr="00174BEC">
        <w:t xml:space="preserve">] will apply AASB 15 in its current year financial statements. </w:t>
      </w:r>
    </w:p>
    <w:p w14:paraId="673F31B6" w14:textId="77777777" w:rsidR="00D11197" w:rsidRPr="00174BEC" w:rsidRDefault="00D11197" w:rsidP="00D11197">
      <w:pPr>
        <w:pStyle w:val="BodyText"/>
      </w:pPr>
      <w:r w:rsidRPr="00174BEC">
        <w:t>To effectively implement AASB 15, [</w:t>
      </w:r>
      <w:r w:rsidRPr="00174BEC">
        <w:rPr>
          <w:rStyle w:val="Italic"/>
        </w:rPr>
        <w:t>abbreviated name</w:t>
      </w:r>
      <w:r w:rsidRPr="00174BEC">
        <w:t>] will need to have:</w:t>
      </w:r>
    </w:p>
    <w:p w14:paraId="7E62F51F" w14:textId="53CA8ACA" w:rsidR="00D11197" w:rsidRPr="00174BEC" w:rsidRDefault="00D11197" w:rsidP="00D11197">
      <w:pPr>
        <w:pStyle w:val="Bullet1stlevel"/>
      </w:pPr>
      <w:r w:rsidRPr="00174BEC">
        <w:t>reviewed its current contracts with customers</w:t>
      </w:r>
    </w:p>
    <w:p w14:paraId="35629695" w14:textId="77777777" w:rsidR="00D11197" w:rsidRPr="00174BEC" w:rsidRDefault="00D11197" w:rsidP="00D11197">
      <w:pPr>
        <w:pStyle w:val="Bullet1stlevel"/>
      </w:pPr>
      <w:r w:rsidRPr="00174BEC">
        <w:t>ensured contracts registers are complete</w:t>
      </w:r>
    </w:p>
    <w:p w14:paraId="22379065" w14:textId="77777777" w:rsidR="00D11197" w:rsidRPr="00174BEC" w:rsidRDefault="00D11197" w:rsidP="00D11197">
      <w:pPr>
        <w:pStyle w:val="Bullet1stlevel"/>
      </w:pPr>
      <w:r w:rsidRPr="00174BEC">
        <w:t>prepared for increased disclosures in the financial statements</w:t>
      </w:r>
    </w:p>
    <w:p w14:paraId="48AB4A5B" w14:textId="77777777" w:rsidR="00D11197" w:rsidRPr="00174BEC" w:rsidRDefault="00D11197" w:rsidP="00D11197">
      <w:pPr>
        <w:pStyle w:val="Bullet1stlevel"/>
      </w:pPr>
      <w:r w:rsidRPr="00174BEC">
        <w:t>assessed whether existing systems can capture key information requirements of the new standard</w:t>
      </w:r>
    </w:p>
    <w:p w14:paraId="6E5072D3" w14:textId="77777777" w:rsidR="00D11197" w:rsidRPr="00174BEC" w:rsidRDefault="00D11197" w:rsidP="00D11197">
      <w:pPr>
        <w:pStyle w:val="Bullet1stlevel"/>
      </w:pPr>
      <w:r w:rsidRPr="00174BEC">
        <w:t>considered the impact on reporting to stakeholders regarding the [</w:t>
      </w:r>
      <w:r w:rsidRPr="00174BEC">
        <w:rPr>
          <w:rStyle w:val="Italic"/>
        </w:rPr>
        <w:t>abbreviated name</w:t>
      </w:r>
      <w:r w:rsidRPr="00174BEC">
        <w:t>]’s financial position and performance</w:t>
      </w:r>
    </w:p>
    <w:p w14:paraId="1F520CD4" w14:textId="1C3B4EDC" w:rsidR="00D11197" w:rsidRPr="00174BEC" w:rsidRDefault="00D11197" w:rsidP="00D11197">
      <w:pPr>
        <w:pStyle w:val="Bullet1stlevel"/>
      </w:pPr>
      <w:r w:rsidRPr="00174BEC">
        <w:t>provided proper guidance to audit and risk committees.</w:t>
      </w:r>
    </w:p>
    <w:p w14:paraId="29C2E461" w14:textId="77777777" w:rsidR="00D11197" w:rsidRPr="00174BEC" w:rsidRDefault="00D11197" w:rsidP="00D11197">
      <w:pPr>
        <w:pStyle w:val="SingleLineText-Half"/>
      </w:pPr>
    </w:p>
    <w:p w14:paraId="34C01C07" w14:textId="77777777" w:rsidR="00D11197" w:rsidRPr="00174BEC" w:rsidRDefault="00D11197" w:rsidP="00D11197">
      <w:pPr>
        <w:pStyle w:val="BodyText"/>
      </w:pPr>
      <w:r w:rsidRPr="00174BEC">
        <w:t>[</w:t>
      </w:r>
      <w:r w:rsidRPr="00174BEC">
        <w:rPr>
          <w:rStyle w:val="Italic"/>
        </w:rPr>
        <w:t>Abbreviated name</w:t>
      </w:r>
      <w:r w:rsidRPr="00174BEC">
        <w:t>] will need to keep detailed working papers evidencing how it has complied with the requirements of AASB 15, such as working papers to support:</w:t>
      </w:r>
    </w:p>
    <w:p w14:paraId="49001AA0" w14:textId="77777777" w:rsidR="00D11197" w:rsidRPr="00174BEC" w:rsidRDefault="00D11197" w:rsidP="00D11197">
      <w:pPr>
        <w:pStyle w:val="Bullet1stlevel"/>
      </w:pPr>
      <w:r w:rsidRPr="00174BEC">
        <w:t>key decisions and judgements made, for example whether contracts are in the scope of AASB 15, identification of performance obligations, determination and allocation of the transaction price, timing of revenue recognition</w:t>
      </w:r>
    </w:p>
    <w:p w14:paraId="240A3D0D" w14:textId="77777777" w:rsidR="00D11197" w:rsidRPr="00174BEC" w:rsidRDefault="00D11197" w:rsidP="00D11197">
      <w:pPr>
        <w:pStyle w:val="Bullet1stlevel"/>
      </w:pPr>
      <w:r w:rsidRPr="00174BEC">
        <w:t>financial statement disclosures.</w:t>
      </w:r>
    </w:p>
    <w:p w14:paraId="37D4D5CB"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682B01" w14:paraId="4725494C" w14:textId="77777777" w:rsidTr="00C60F3E">
        <w:tc>
          <w:tcPr>
            <w:tcW w:w="9060" w:type="dxa"/>
            <w:shd w:val="clear" w:color="auto" w:fill="D9D9D9" w:themeFill="background1" w:themeFillShade="D9"/>
          </w:tcPr>
          <w:p w14:paraId="7B1A9DD1" w14:textId="77777777" w:rsidR="00D11197" w:rsidRPr="00D11197" w:rsidRDefault="00D11197" w:rsidP="00D11197">
            <w:pPr>
              <w:pStyle w:val="Tabletext"/>
              <w:rPr>
                <w:rStyle w:val="Bold"/>
              </w:rPr>
            </w:pPr>
            <w:r w:rsidRPr="004E6427">
              <w:rPr>
                <w:rStyle w:val="Bold"/>
              </w:rPr>
              <w:t>Delete the paragraph below for universities and their controlled entities.</w:t>
            </w:r>
          </w:p>
        </w:tc>
      </w:tr>
    </w:tbl>
    <w:p w14:paraId="7C79B183" w14:textId="77777777" w:rsidR="00D11197" w:rsidRPr="00BC25FF" w:rsidRDefault="00D11197" w:rsidP="00D11197">
      <w:pPr>
        <w:pStyle w:val="BodyText"/>
      </w:pPr>
    </w:p>
    <w:p w14:paraId="639BE4AD" w14:textId="2A4D21D8" w:rsidR="00D11197" w:rsidRPr="00174BEC" w:rsidRDefault="00D11197" w:rsidP="00D11197">
      <w:pPr>
        <w:pStyle w:val="BodyText"/>
      </w:pPr>
      <w:r w:rsidRPr="00174BEC">
        <w:t xml:space="preserve">NSW </w:t>
      </w:r>
      <w:r w:rsidR="00F95062">
        <w:t>Treasury</w:t>
      </w:r>
      <w:r w:rsidRPr="00174BEC">
        <w:t xml:space="preserve"> has released:</w:t>
      </w:r>
    </w:p>
    <w:p w14:paraId="6EA0A4E0" w14:textId="77777777" w:rsidR="00D11197" w:rsidRPr="00174BEC" w:rsidRDefault="00B6415A" w:rsidP="00D11197">
      <w:pPr>
        <w:pStyle w:val="Bullet1stlevel"/>
      </w:pPr>
      <w:hyperlink r:id="rId38" w:history="1">
        <w:r w:rsidR="00D11197" w:rsidRPr="00174BEC">
          <w:rPr>
            <w:rStyle w:val="Hyperlink"/>
          </w:rPr>
          <w:t>‘Guidance for AASB 15 Revenue from Contracts with Customers’</w:t>
        </w:r>
      </w:hyperlink>
      <w:r w:rsidR="00D11197" w:rsidRPr="00174BEC">
        <w:t xml:space="preserve"> which provides an overview of the requirements of AASB 15 including disclosures and practical transitional impacts. </w:t>
      </w:r>
    </w:p>
    <w:p w14:paraId="23E21206" w14:textId="55EB9A8A" w:rsidR="00D11197" w:rsidRPr="00174BEC" w:rsidRDefault="00B6415A" w:rsidP="00D11197">
      <w:pPr>
        <w:pStyle w:val="Bullet1stlevel"/>
      </w:pPr>
      <w:hyperlink r:id="rId39" w:history="1">
        <w:r w:rsidR="00D11197" w:rsidRPr="00174BEC">
          <w:rPr>
            <w:rStyle w:val="Hyperlink"/>
          </w:rPr>
          <w:t>TC19</w:t>
        </w:r>
        <w:r w:rsidR="00F95062">
          <w:rPr>
            <w:rStyle w:val="Hyperlink"/>
          </w:rPr>
          <w:noBreakHyphen/>
        </w:r>
        <w:r w:rsidR="00D11197" w:rsidRPr="00174BEC">
          <w:rPr>
            <w:rStyle w:val="Hyperlink"/>
          </w:rPr>
          <w:t>07 ‘AASB 15 ‘Revenue from Contracts with customers’ and AASB 1058 ‘Income of Not</w:t>
        </w:r>
        <w:r w:rsidR="00F95062">
          <w:rPr>
            <w:rStyle w:val="Hyperlink"/>
          </w:rPr>
          <w:noBreakHyphen/>
        </w:r>
        <w:r w:rsidR="00D11197" w:rsidRPr="00174BEC">
          <w:rPr>
            <w:rStyle w:val="Hyperlink"/>
          </w:rPr>
          <w:t>for</w:t>
        </w:r>
        <w:r w:rsidR="00F95062">
          <w:rPr>
            <w:rStyle w:val="Hyperlink"/>
          </w:rPr>
          <w:noBreakHyphen/>
        </w:r>
        <w:r w:rsidR="00D11197" w:rsidRPr="00174BEC">
          <w:rPr>
            <w:rStyle w:val="Hyperlink"/>
          </w:rPr>
          <w:t>profit’ Entities Transition Elections’</w:t>
        </w:r>
      </w:hyperlink>
      <w:r w:rsidR="00D11197" w:rsidRPr="00174BEC">
        <w:t xml:space="preserve"> which prescribes the options that NSW public sector entities are to elect when applying AASB 15 and AASB 1059.</w:t>
      </w:r>
    </w:p>
    <w:p w14:paraId="32DA3258" w14:textId="77777777" w:rsidR="00D11197" w:rsidRPr="00BC25FF" w:rsidRDefault="00D11197" w:rsidP="00D11197">
      <w:pPr>
        <w:pStyle w:val="SingleLineText-Half"/>
      </w:pPr>
    </w:p>
    <w:p w14:paraId="77CA1C5A" w14:textId="3E880693" w:rsidR="00D11197" w:rsidRPr="00675794" w:rsidRDefault="00D11197" w:rsidP="00D11197">
      <w:pPr>
        <w:pStyle w:val="Heading-LeftSmall"/>
      </w:pPr>
      <w:r w:rsidRPr="00675794">
        <w:t>AASB 1</w:t>
      </w:r>
      <w:r>
        <w:t>0</w:t>
      </w:r>
      <w:r w:rsidRPr="00675794">
        <w:t>5</w:t>
      </w:r>
      <w:r>
        <w:t>8</w:t>
      </w:r>
      <w:r w:rsidRPr="00675794">
        <w:t xml:space="preserve"> ‘</w:t>
      </w:r>
      <w:r>
        <w:t>Income of Not</w:t>
      </w:r>
      <w:r w:rsidR="00F95062">
        <w:noBreakHyphen/>
      </w:r>
      <w:r>
        <w:t>for</w:t>
      </w:r>
      <w:r w:rsidR="00F95062">
        <w:noBreakHyphen/>
      </w:r>
      <w:r>
        <w:t>Profit Entities’</w:t>
      </w:r>
    </w:p>
    <w:p w14:paraId="1FAEA65A" w14:textId="59597825" w:rsidR="00D11197" w:rsidRDefault="00D11197" w:rsidP="00D11197">
      <w:pPr>
        <w:pStyle w:val="BodyText"/>
      </w:pPr>
      <w:r w:rsidRPr="00E8205C">
        <w:t>AASB 1058 provides guidance to help not</w:t>
      </w:r>
      <w:r w:rsidR="00F95062">
        <w:noBreakHyphen/>
      </w:r>
      <w:r w:rsidRPr="00E8205C">
        <w:t>for</w:t>
      </w:r>
      <w:r w:rsidR="00F95062">
        <w:noBreakHyphen/>
      </w:r>
      <w:r w:rsidRPr="00E8205C">
        <w:t>profit entities account for transactions conducted on non</w:t>
      </w:r>
      <w:r w:rsidR="00F95062">
        <w:noBreakHyphen/>
      </w:r>
      <w:r w:rsidRPr="00E8205C">
        <w:t xml:space="preserve">commercial terms and the receipt of volunteer services. </w:t>
      </w:r>
      <w:r>
        <w:t xml:space="preserve">AASB 1058 </w:t>
      </w:r>
      <w:r w:rsidRPr="00E8205C">
        <w:t xml:space="preserve">may significantly impact the timing and amount of income recorded in </w:t>
      </w:r>
      <w:r>
        <w:t>[not</w:t>
      </w:r>
      <w:r w:rsidR="00F95062">
        <w:noBreakHyphen/>
      </w:r>
      <w:r>
        <w:t>for</w:t>
      </w:r>
      <w:r w:rsidR="00F95062">
        <w:noBreakHyphen/>
      </w:r>
      <w:r>
        <w:t>profit NSW public sector entities/universities and their not</w:t>
      </w:r>
      <w:r w:rsidR="00F95062">
        <w:noBreakHyphen/>
      </w:r>
      <w:r>
        <w:t>for</w:t>
      </w:r>
      <w:r w:rsidR="00F95062">
        <w:noBreakHyphen/>
      </w:r>
      <w:r>
        <w:t xml:space="preserve">profit subsidiaries] </w:t>
      </w:r>
      <w:r w:rsidRPr="00E8205C">
        <w:t>agencies’ financial statements, particularly for grant income.</w:t>
      </w:r>
    </w:p>
    <w:p w14:paraId="0A3095B4" w14:textId="60B30217" w:rsidR="00D11197" w:rsidRPr="00174BEC" w:rsidRDefault="00D11197" w:rsidP="00D11197">
      <w:pPr>
        <w:pStyle w:val="BodyText"/>
      </w:pPr>
      <w:r w:rsidRPr="00CF666E">
        <w:t>AASB 1058 is effective for not</w:t>
      </w:r>
      <w:r w:rsidR="00F95062">
        <w:noBreakHyphen/>
      </w:r>
      <w:r w:rsidRPr="00CF666E">
        <w:t>for</w:t>
      </w:r>
      <w:r w:rsidR="00F95062">
        <w:noBreakHyphen/>
      </w:r>
      <w:r w:rsidRPr="00CF666E">
        <w:t>profit entities for financial years beginning on or after 1</w:t>
      </w:r>
      <w:r w:rsidR="00F95062">
        <w:t> January </w:t>
      </w:r>
      <w:r w:rsidRPr="00CF666E">
        <w:t>2019. The [</w:t>
      </w:r>
      <w:r w:rsidR="001A2D51">
        <w:rPr>
          <w:i/>
        </w:rPr>
        <w:t>a</w:t>
      </w:r>
      <w:r w:rsidRPr="005920BA">
        <w:rPr>
          <w:i/>
        </w:rPr>
        <w:t>bbreviated name</w:t>
      </w:r>
      <w:r w:rsidRPr="00CF666E">
        <w:t>] will apply AASB 1058 in its current year financial statements.</w:t>
      </w:r>
    </w:p>
    <w:p w14:paraId="04EBC70D" w14:textId="77777777" w:rsidR="00D11197" w:rsidRPr="00174BEC" w:rsidRDefault="00D11197" w:rsidP="00D11197">
      <w:pPr>
        <w:pStyle w:val="BodyText"/>
      </w:pPr>
      <w:r w:rsidRPr="00174BEC">
        <w:t>The [</w:t>
      </w:r>
      <w:r w:rsidRPr="005920BA">
        <w:rPr>
          <w:i/>
        </w:rPr>
        <w:t>abbreviated name</w:t>
      </w:r>
      <w:r w:rsidRPr="00174BEC">
        <w:t>] will need to consider AASB 1058 in conjunction with AASB 15 to determine how to record transactions.</w:t>
      </w:r>
    </w:p>
    <w:p w14:paraId="643FFB16" w14:textId="77777777" w:rsidR="00D11197" w:rsidRPr="00174BEC" w:rsidRDefault="00D11197" w:rsidP="00D11197">
      <w:pPr>
        <w:pStyle w:val="BodyText"/>
      </w:pPr>
      <w:r w:rsidRPr="00174BEC">
        <w:t>To determine the applicable standard, [</w:t>
      </w:r>
      <w:r w:rsidRPr="00174BEC">
        <w:rPr>
          <w:rStyle w:val="Italic"/>
        </w:rPr>
        <w:t>abbreviated name</w:t>
      </w:r>
      <w:r w:rsidRPr="00174BEC">
        <w:t>] will need to have:</w:t>
      </w:r>
    </w:p>
    <w:p w14:paraId="05907222" w14:textId="4E6427FD" w:rsidR="00D11197" w:rsidRPr="00174BEC" w:rsidRDefault="00D11197" w:rsidP="00D11197">
      <w:pPr>
        <w:pStyle w:val="Bullet1stlevel"/>
      </w:pPr>
      <w:r w:rsidRPr="00174BEC">
        <w:t>determined the fair value of assets provided to [</w:t>
      </w:r>
      <w:r w:rsidRPr="00174BEC">
        <w:rPr>
          <w:rStyle w:val="Italic"/>
        </w:rPr>
        <w:t>abbreviated name</w:t>
      </w:r>
      <w:r w:rsidRPr="00174BEC">
        <w:t>], on non</w:t>
      </w:r>
      <w:r w:rsidR="00F95062">
        <w:noBreakHyphen/>
      </w:r>
      <w:r w:rsidRPr="00174BEC">
        <w:t>commercial terms (at significantly less than their fair value)</w:t>
      </w:r>
    </w:p>
    <w:p w14:paraId="11772E7D" w14:textId="77777777" w:rsidR="00D11197" w:rsidRPr="00174BEC" w:rsidRDefault="00D11197" w:rsidP="00D11197">
      <w:pPr>
        <w:pStyle w:val="Bullet1stlevel"/>
      </w:pPr>
      <w:r w:rsidRPr="00174BEC">
        <w:t>reviewed existing and new grant agreements</w:t>
      </w:r>
    </w:p>
    <w:p w14:paraId="243F245D" w14:textId="77777777" w:rsidR="00D11197" w:rsidRPr="00174BEC" w:rsidRDefault="00D11197" w:rsidP="00D11197">
      <w:pPr>
        <w:pStyle w:val="Bullet1stlevel"/>
      </w:pPr>
      <w:r w:rsidRPr="00174BEC">
        <w:t>assessed whether existing systems can capture key information requirements of the new standard</w:t>
      </w:r>
    </w:p>
    <w:p w14:paraId="2562CB0B" w14:textId="77777777" w:rsidR="00D11197" w:rsidRPr="00174BEC" w:rsidRDefault="00D11197" w:rsidP="00D11197">
      <w:pPr>
        <w:pStyle w:val="Bullet1stlevel"/>
      </w:pPr>
      <w:r w:rsidRPr="00174BEC">
        <w:t>considered the impact on reporting to stakeholders regarding the [</w:t>
      </w:r>
      <w:r w:rsidRPr="00174BEC">
        <w:rPr>
          <w:rStyle w:val="Italic"/>
        </w:rPr>
        <w:t>abbreviated name</w:t>
      </w:r>
      <w:r w:rsidRPr="00174BEC">
        <w:t>]’s financial position and performance</w:t>
      </w:r>
    </w:p>
    <w:p w14:paraId="5A1434DE" w14:textId="735EE382" w:rsidR="00D11197" w:rsidRPr="00174BEC" w:rsidRDefault="00D11197" w:rsidP="00D11197">
      <w:pPr>
        <w:pStyle w:val="Bullet1stlevel"/>
      </w:pPr>
      <w:r w:rsidRPr="00174BEC">
        <w:t>provided proper guidance to audit and risk committees.</w:t>
      </w:r>
    </w:p>
    <w:p w14:paraId="543D1A9D" w14:textId="77777777" w:rsidR="00D11197" w:rsidRPr="00174BEC" w:rsidRDefault="00D11197" w:rsidP="00D11197">
      <w:pPr>
        <w:pStyle w:val="SingleLineText-Half"/>
      </w:pPr>
    </w:p>
    <w:p w14:paraId="4732DD70" w14:textId="77777777" w:rsidR="00D11197" w:rsidRPr="00174BEC" w:rsidRDefault="00D11197" w:rsidP="00D11197">
      <w:r w:rsidRPr="00174BEC">
        <w:t>[</w:t>
      </w:r>
      <w:r w:rsidRPr="00174BEC">
        <w:rPr>
          <w:rStyle w:val="Italic"/>
        </w:rPr>
        <w:t>Abbreviated name</w:t>
      </w:r>
      <w:r w:rsidRPr="00174BEC">
        <w:t>] will need to keep detailed working papers evidencing how it has complied with the requirements of AASB 1058, such as working papers to support:</w:t>
      </w:r>
    </w:p>
    <w:p w14:paraId="0565FAD1" w14:textId="1A4AE0D3" w:rsidR="00D11197" w:rsidRPr="00174BEC" w:rsidRDefault="00D11197" w:rsidP="00D11197">
      <w:pPr>
        <w:pStyle w:val="Bullet1stlevel"/>
      </w:pPr>
      <w:r w:rsidRPr="00174BEC">
        <w:t>key decisions and judgements made, for example which standard each revenue stream should be recognised under, whether grant agreements have sufficiently specific performance obligations, the fair value of assets received on non</w:t>
      </w:r>
      <w:r w:rsidR="00F95062">
        <w:noBreakHyphen/>
      </w:r>
      <w:r w:rsidRPr="00174BEC">
        <w:t>commercial terms, fair value of volunteer services</w:t>
      </w:r>
    </w:p>
    <w:p w14:paraId="3453D155" w14:textId="77777777" w:rsidR="00D11197" w:rsidRPr="00174BEC" w:rsidRDefault="00D11197" w:rsidP="00D11197">
      <w:pPr>
        <w:pStyle w:val="Bullet1stlevel"/>
      </w:pPr>
      <w:r w:rsidRPr="00174BEC">
        <w:t>financial statement disclosures.</w:t>
      </w:r>
    </w:p>
    <w:p w14:paraId="0E928692"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675794" w14:paraId="2ED88830" w14:textId="77777777" w:rsidTr="00C60F3E">
        <w:tc>
          <w:tcPr>
            <w:tcW w:w="9060" w:type="dxa"/>
            <w:shd w:val="clear" w:color="auto" w:fill="D9D9D9" w:themeFill="background1" w:themeFillShade="D9"/>
          </w:tcPr>
          <w:p w14:paraId="2641369A" w14:textId="77777777" w:rsidR="00D11197" w:rsidRPr="00D11197" w:rsidRDefault="00D11197" w:rsidP="00D11197">
            <w:pPr>
              <w:pStyle w:val="Tabletext"/>
              <w:rPr>
                <w:rStyle w:val="Bold"/>
              </w:rPr>
            </w:pPr>
            <w:r w:rsidRPr="004E6427">
              <w:rPr>
                <w:rStyle w:val="Bold"/>
              </w:rPr>
              <w:t>Delete the paragraph below for universities and their controlled entities.</w:t>
            </w:r>
          </w:p>
        </w:tc>
      </w:tr>
    </w:tbl>
    <w:p w14:paraId="43ED75E6" w14:textId="77777777" w:rsidR="00D11197" w:rsidRPr="00BC25FF" w:rsidRDefault="00D11197" w:rsidP="00D11197">
      <w:pPr>
        <w:pStyle w:val="BodyText"/>
      </w:pPr>
    </w:p>
    <w:p w14:paraId="07D0D7F1" w14:textId="459FB606" w:rsidR="00D11197" w:rsidRPr="00174BEC" w:rsidRDefault="00D11197" w:rsidP="00D11197">
      <w:pPr>
        <w:pStyle w:val="BodyText"/>
      </w:pPr>
      <w:r w:rsidRPr="00174BEC">
        <w:t xml:space="preserve">NSW </w:t>
      </w:r>
      <w:r w:rsidR="00F95062">
        <w:t>Treasury</w:t>
      </w:r>
      <w:r w:rsidRPr="00174BEC">
        <w:t xml:space="preserve"> has released:</w:t>
      </w:r>
    </w:p>
    <w:p w14:paraId="71F8F4CA" w14:textId="58A64819" w:rsidR="00D11197" w:rsidRPr="00174BEC" w:rsidRDefault="00B6415A" w:rsidP="00D11197">
      <w:pPr>
        <w:pStyle w:val="Bullet1stlevel"/>
      </w:pPr>
      <w:hyperlink r:id="rId40" w:history="1">
        <w:r w:rsidR="00D11197" w:rsidRPr="00174BEC">
          <w:rPr>
            <w:rStyle w:val="Hyperlink"/>
          </w:rPr>
          <w:t>‘Guidance for AASB 1058 Income of not</w:t>
        </w:r>
        <w:r w:rsidR="00F95062">
          <w:rPr>
            <w:rStyle w:val="Hyperlink"/>
          </w:rPr>
          <w:noBreakHyphen/>
        </w:r>
        <w:r w:rsidR="00D11197" w:rsidRPr="00174BEC">
          <w:rPr>
            <w:rStyle w:val="Hyperlink"/>
          </w:rPr>
          <w:t>for</w:t>
        </w:r>
        <w:r w:rsidR="00F95062">
          <w:rPr>
            <w:rStyle w:val="Hyperlink"/>
          </w:rPr>
          <w:noBreakHyphen/>
        </w:r>
        <w:r w:rsidR="00D11197" w:rsidRPr="00174BEC">
          <w:rPr>
            <w:rStyle w:val="Hyperlink"/>
          </w:rPr>
          <w:t>profit entities’</w:t>
        </w:r>
      </w:hyperlink>
      <w:r w:rsidR="00D11197" w:rsidRPr="00174BEC">
        <w:t xml:space="preserve"> which provides an overview of the requirements of AASB 1058 including disclosures and practical transitional impacts.</w:t>
      </w:r>
    </w:p>
    <w:p w14:paraId="76D3EB15" w14:textId="4137B0C4" w:rsidR="00D11197" w:rsidRPr="00174BEC" w:rsidRDefault="00B6415A" w:rsidP="00D11197">
      <w:pPr>
        <w:pStyle w:val="Bullet1stlevel"/>
      </w:pPr>
      <w:hyperlink r:id="rId41" w:history="1">
        <w:r w:rsidR="00D11197" w:rsidRPr="00174BEC">
          <w:rPr>
            <w:rStyle w:val="Hyperlink"/>
          </w:rPr>
          <w:t>TC19</w:t>
        </w:r>
        <w:r w:rsidR="00F95062">
          <w:rPr>
            <w:rStyle w:val="Hyperlink"/>
          </w:rPr>
          <w:noBreakHyphen/>
        </w:r>
        <w:r w:rsidR="00D11197" w:rsidRPr="00174BEC">
          <w:rPr>
            <w:rStyle w:val="Hyperlink"/>
          </w:rPr>
          <w:t>07 ‘AASB 15 ‘Revenue from Contracts with customers’ and AASB 1058 ‘Income of Not</w:t>
        </w:r>
        <w:r w:rsidR="00F95062">
          <w:rPr>
            <w:rStyle w:val="Hyperlink"/>
          </w:rPr>
          <w:noBreakHyphen/>
        </w:r>
        <w:r w:rsidR="00D11197" w:rsidRPr="00174BEC">
          <w:rPr>
            <w:rStyle w:val="Hyperlink"/>
          </w:rPr>
          <w:t>for</w:t>
        </w:r>
        <w:r w:rsidR="00F95062">
          <w:rPr>
            <w:rStyle w:val="Hyperlink"/>
          </w:rPr>
          <w:noBreakHyphen/>
        </w:r>
        <w:r w:rsidR="00D11197" w:rsidRPr="00174BEC">
          <w:rPr>
            <w:rStyle w:val="Hyperlink"/>
          </w:rPr>
          <w:t>profit’ Entities Transition Elections’</w:t>
        </w:r>
      </w:hyperlink>
      <w:r w:rsidR="00D11197" w:rsidRPr="00174BEC">
        <w:t xml:space="preserve"> which prescribes the options that NSW public sector entities are to elect when applying AASB 15 and AASB 1059.</w:t>
      </w:r>
    </w:p>
    <w:p w14:paraId="3AEE6EA7" w14:textId="77777777" w:rsidR="00D11197" w:rsidRPr="00BC25FF" w:rsidRDefault="00D11197" w:rsidP="00D11197">
      <w:pPr>
        <w:pStyle w:val="SingleLineText-Half"/>
      </w:pPr>
    </w:p>
    <w:p w14:paraId="6817D767" w14:textId="77777777" w:rsidR="00D11197" w:rsidRPr="00682B01" w:rsidRDefault="00D11197" w:rsidP="00D11197">
      <w:pPr>
        <w:pStyle w:val="Heading-LeftSmall"/>
      </w:pPr>
      <w:r w:rsidRPr="00682B01">
        <w:t>AASB 16 ‘Leases’</w:t>
      </w:r>
    </w:p>
    <w:p w14:paraId="75AF8958" w14:textId="10852573" w:rsidR="00D11197" w:rsidRPr="00675794" w:rsidRDefault="00D11197" w:rsidP="00D11197">
      <w:pPr>
        <w:pStyle w:val="BodyText"/>
      </w:pPr>
      <w:r w:rsidRPr="00D30510">
        <w:t xml:space="preserve">AASB 16 changes the way lessees treat operating leases for financial reporting. With a few exceptions, operating leases will now be recorded </w:t>
      </w:r>
      <w:r>
        <w:t>in the Statement of Financial Position</w:t>
      </w:r>
      <w:r w:rsidRPr="00D30510">
        <w:t xml:space="preserve"> as a</w:t>
      </w:r>
      <w:r>
        <w:t xml:space="preserve"> right of use (ROU) asset</w:t>
      </w:r>
      <w:r w:rsidRPr="00D30510">
        <w:t>, with a corresponding liability.</w:t>
      </w:r>
      <w:r>
        <w:t xml:space="preserve"> AASB 16 will result in more assets and liabilities being recorded in the Statement of Financial Position and change the timing and pattern of expenses recorded in the Statement of Comprehensive Income.</w:t>
      </w:r>
    </w:p>
    <w:tbl>
      <w:tblPr>
        <w:tblStyle w:val="TableGrid"/>
        <w:tblW w:w="0" w:type="auto"/>
        <w:tblLook w:val="04A0" w:firstRow="1" w:lastRow="0" w:firstColumn="1" w:lastColumn="0" w:noHBand="0" w:noVBand="1"/>
      </w:tblPr>
      <w:tblGrid>
        <w:gridCol w:w="9060"/>
      </w:tblGrid>
      <w:tr w:rsidR="00D11197" w:rsidRPr="00675794" w14:paraId="0AF3BEA7" w14:textId="77777777" w:rsidTr="00C60F3E">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4E9A1" w14:textId="77777777" w:rsidR="00D11197" w:rsidRPr="00D11197" w:rsidRDefault="00D11197" w:rsidP="00D11197">
            <w:pPr>
              <w:pStyle w:val="Tabletext"/>
              <w:rPr>
                <w:rStyle w:val="Bold"/>
              </w:rPr>
            </w:pPr>
            <w:r w:rsidRPr="000F5A68">
              <w:rPr>
                <w:rStyle w:val="Bold"/>
              </w:rPr>
              <w:t>Select the appropriate option</w:t>
            </w:r>
          </w:p>
        </w:tc>
      </w:tr>
    </w:tbl>
    <w:p w14:paraId="43E5B521" w14:textId="77777777" w:rsidR="00D11197" w:rsidRPr="00675794" w:rsidRDefault="00D11197" w:rsidP="00D11197">
      <w:pPr>
        <w:pStyle w:val="BodyText"/>
      </w:pPr>
    </w:p>
    <w:p w14:paraId="5E62901F" w14:textId="6A999714" w:rsidR="00D11197" w:rsidRPr="00174BEC" w:rsidRDefault="00D11197" w:rsidP="00D11197">
      <w:pPr>
        <w:pStyle w:val="BodyText"/>
      </w:pPr>
      <w:r w:rsidRPr="00174BEC">
        <w:t>AASB 16 is effective for financial years beginning on or after 1</w:t>
      </w:r>
      <w:r w:rsidR="00F95062">
        <w:t> January </w:t>
      </w:r>
      <w:r w:rsidRPr="00174BEC">
        <w:t>2019. The</w:t>
      </w:r>
      <w:r w:rsidRPr="00174BEC" w:rsidDel="0036579B">
        <w:t xml:space="preserve"> </w:t>
      </w:r>
      <w:r w:rsidRPr="00174BEC">
        <w:t>[</w:t>
      </w:r>
      <w:r w:rsidR="001A2D51" w:rsidRPr="005920BA">
        <w:rPr>
          <w:i/>
        </w:rPr>
        <w:t>a</w:t>
      </w:r>
      <w:r w:rsidRPr="005920BA">
        <w:rPr>
          <w:i/>
        </w:rPr>
        <w:t>bbreviated name</w:t>
      </w:r>
      <w:r w:rsidRPr="00174BEC">
        <w:t>] will apply AASB 16 in its current year financial statements.</w:t>
      </w:r>
    </w:p>
    <w:p w14:paraId="063FED00" w14:textId="77777777" w:rsidR="00D11197" w:rsidRPr="00174BEC" w:rsidRDefault="00D11197" w:rsidP="00D11197">
      <w:pPr>
        <w:pStyle w:val="BodyText"/>
      </w:pPr>
      <w:r w:rsidRPr="00174BEC">
        <w:t>To effectively implement AASB 16, [</w:t>
      </w:r>
      <w:r w:rsidRPr="00174BEC">
        <w:rPr>
          <w:rStyle w:val="Italic"/>
        </w:rPr>
        <w:t>abbreviated name</w:t>
      </w:r>
      <w:r w:rsidRPr="00174BEC">
        <w:t>] will need to have:</w:t>
      </w:r>
    </w:p>
    <w:p w14:paraId="5D73D684" w14:textId="77777777" w:rsidR="00D11197" w:rsidRPr="00174BEC" w:rsidRDefault="00D11197" w:rsidP="00D11197">
      <w:pPr>
        <w:pStyle w:val="Bullet1stlevel"/>
      </w:pPr>
      <w:r w:rsidRPr="00174BEC">
        <w:t>reviewed its current lease agreements</w:t>
      </w:r>
    </w:p>
    <w:p w14:paraId="3FF964AA" w14:textId="77777777" w:rsidR="00D11197" w:rsidRPr="00174BEC" w:rsidRDefault="00D11197" w:rsidP="00D11197">
      <w:pPr>
        <w:pStyle w:val="Bullet1stlevel"/>
      </w:pPr>
      <w:r w:rsidRPr="00174BEC">
        <w:t>ensured lease registers/databases are complete</w:t>
      </w:r>
    </w:p>
    <w:p w14:paraId="5D979803" w14:textId="77777777" w:rsidR="00D11197" w:rsidRPr="00174BEC" w:rsidRDefault="00D11197" w:rsidP="00D11197">
      <w:pPr>
        <w:pStyle w:val="Bullet1stlevel"/>
      </w:pPr>
      <w:r w:rsidRPr="00174BEC">
        <w:t>assessed whether existing systems can capture key information requirements of the new standard</w:t>
      </w:r>
    </w:p>
    <w:p w14:paraId="1BAF8528" w14:textId="77777777" w:rsidR="00D11197" w:rsidRPr="00174BEC" w:rsidRDefault="00D11197" w:rsidP="00D11197">
      <w:pPr>
        <w:pStyle w:val="Bullet1stlevel"/>
      </w:pPr>
      <w:r w:rsidRPr="00174BEC">
        <w:t>considered the impact on reporting to stakeholders regarding the [</w:t>
      </w:r>
      <w:r w:rsidRPr="00174BEC">
        <w:rPr>
          <w:rStyle w:val="Italic"/>
        </w:rPr>
        <w:t>abbreviated name</w:t>
      </w:r>
      <w:r w:rsidRPr="00174BEC">
        <w:t>]’s financial position and performance</w:t>
      </w:r>
    </w:p>
    <w:p w14:paraId="37940FBF" w14:textId="2145DBF8" w:rsidR="00D11197" w:rsidRPr="00174BEC" w:rsidRDefault="00D11197" w:rsidP="00D11197">
      <w:pPr>
        <w:pStyle w:val="Bullet1stlevel"/>
      </w:pPr>
      <w:r w:rsidRPr="00174BEC">
        <w:t>provided proper guidance to audit and risk committees.</w:t>
      </w:r>
    </w:p>
    <w:p w14:paraId="462CDF6A" w14:textId="77777777" w:rsidR="00D11197" w:rsidRPr="002C4D96" w:rsidRDefault="00D11197" w:rsidP="00D11197">
      <w:pPr>
        <w:pStyle w:val="SingleLineText-Half"/>
        <w:rPr>
          <w:highlight w:val="yellow"/>
        </w:rPr>
      </w:pPr>
    </w:p>
    <w:p w14:paraId="4283B4DB" w14:textId="77777777" w:rsidR="00D11197" w:rsidRPr="00174BEC" w:rsidRDefault="00D11197" w:rsidP="00D11197">
      <w:pPr>
        <w:pStyle w:val="BodyText"/>
      </w:pPr>
      <w:r w:rsidRPr="00174BEC">
        <w:t>[</w:t>
      </w:r>
      <w:r w:rsidRPr="00174BEC">
        <w:rPr>
          <w:rStyle w:val="Italic"/>
        </w:rPr>
        <w:t>Abbreviated name</w:t>
      </w:r>
      <w:r w:rsidRPr="00174BEC">
        <w:t>] will need to keep detailed working papers evidencing how it has complied with the requirements of AASB 16, such as working papers to support:</w:t>
      </w:r>
    </w:p>
    <w:p w14:paraId="51BE1D1C" w14:textId="10147CAF" w:rsidR="00D11197" w:rsidRPr="00174BEC" w:rsidRDefault="00D11197" w:rsidP="00D11197">
      <w:pPr>
        <w:pStyle w:val="Bullet1stlevel"/>
      </w:pPr>
      <w:r w:rsidRPr="00174BEC">
        <w:t>key decisions and judgements made, for example whether contracts contain a lease, its assessment of whether the [</w:t>
      </w:r>
      <w:r w:rsidRPr="005920BA">
        <w:rPr>
          <w:i/>
        </w:rPr>
        <w:t>abbreviated name</w:t>
      </w:r>
      <w:r w:rsidRPr="00174BEC">
        <w:t>] is reasonably certain to exercise lease options, discount rate, fair value of peppercorn leases</w:t>
      </w:r>
    </w:p>
    <w:p w14:paraId="056F9610" w14:textId="77777777" w:rsidR="00D11197" w:rsidRPr="00174BEC" w:rsidRDefault="00D11197" w:rsidP="00D11197">
      <w:pPr>
        <w:pStyle w:val="Bullet1stlevel"/>
      </w:pPr>
      <w:r w:rsidRPr="00174BEC">
        <w:t>financial statement disclosures.</w:t>
      </w:r>
    </w:p>
    <w:p w14:paraId="24DCA3F4"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682B01" w14:paraId="416ADF7F" w14:textId="77777777" w:rsidTr="00C60F3E">
        <w:tc>
          <w:tcPr>
            <w:tcW w:w="9060" w:type="dxa"/>
            <w:shd w:val="clear" w:color="auto" w:fill="D9D9D9" w:themeFill="background1" w:themeFillShade="D9"/>
          </w:tcPr>
          <w:p w14:paraId="3F8A8DB3" w14:textId="77777777" w:rsidR="00D11197" w:rsidRPr="00D11197" w:rsidRDefault="00D11197" w:rsidP="00D11197">
            <w:pPr>
              <w:pStyle w:val="Tabletext"/>
              <w:rPr>
                <w:rStyle w:val="Bold"/>
              </w:rPr>
            </w:pPr>
            <w:r w:rsidRPr="004E6427">
              <w:rPr>
                <w:rStyle w:val="Bold"/>
              </w:rPr>
              <w:t>Delete the paragraph below for universities and their controlled entities.</w:t>
            </w:r>
          </w:p>
        </w:tc>
      </w:tr>
    </w:tbl>
    <w:p w14:paraId="3C0CF250" w14:textId="77777777" w:rsidR="00D11197" w:rsidRPr="00BC25FF" w:rsidRDefault="00D11197" w:rsidP="00D11197">
      <w:pPr>
        <w:pStyle w:val="BodyText"/>
      </w:pPr>
    </w:p>
    <w:p w14:paraId="57B8C579" w14:textId="7CFFF2E7" w:rsidR="00D11197" w:rsidRPr="00BC25FF" w:rsidRDefault="00D11197" w:rsidP="00D11197">
      <w:pPr>
        <w:pStyle w:val="BodyText"/>
      </w:pPr>
      <w:r w:rsidRPr="00BC25FF">
        <w:t xml:space="preserve">NSW </w:t>
      </w:r>
      <w:r w:rsidR="00F95062">
        <w:t>Treasury</w:t>
      </w:r>
      <w:r w:rsidRPr="00BC25FF">
        <w:t xml:space="preserve"> ha</w:t>
      </w:r>
      <w:r>
        <w:t>s</w:t>
      </w:r>
      <w:r w:rsidRPr="00BC25FF">
        <w:t xml:space="preserve"> released:</w:t>
      </w:r>
    </w:p>
    <w:p w14:paraId="667C87B3" w14:textId="34D2C60C" w:rsidR="00D11197" w:rsidRPr="00BC25FF" w:rsidRDefault="00B6415A" w:rsidP="00D11197">
      <w:pPr>
        <w:pStyle w:val="Bullet1stlevel"/>
      </w:pPr>
      <w:hyperlink r:id="rId42" w:history="1">
        <w:r w:rsidR="00D11197" w:rsidRPr="00BC25FF">
          <w:rPr>
            <w:rStyle w:val="Hyperlink"/>
          </w:rPr>
          <w:t>‘Guidance for AASB 16 Leases’</w:t>
        </w:r>
      </w:hyperlink>
      <w:r w:rsidR="00D11197" w:rsidRPr="00BC25FF">
        <w:t xml:space="preserve"> which provides a high</w:t>
      </w:r>
      <w:r w:rsidR="00F95062">
        <w:noBreakHyphen/>
      </w:r>
      <w:r w:rsidR="00D11197" w:rsidRPr="00BC25FF">
        <w:t>level summary of AASB 16 including the practical transitional impacts and practical expedients</w:t>
      </w:r>
      <w:r w:rsidR="0023511A">
        <w:t>.</w:t>
      </w:r>
    </w:p>
    <w:p w14:paraId="526EC893" w14:textId="1504903C" w:rsidR="00D11197" w:rsidRPr="00BC25FF" w:rsidRDefault="00B6415A" w:rsidP="00D11197">
      <w:pPr>
        <w:pStyle w:val="Bullet1stlevel"/>
      </w:pPr>
      <w:hyperlink r:id="rId43" w:history="1">
        <w:r w:rsidR="00D11197" w:rsidRPr="00BC25FF">
          <w:rPr>
            <w:rStyle w:val="Hyperlink"/>
          </w:rPr>
          <w:t>TC18</w:t>
        </w:r>
        <w:r w:rsidR="00F95062">
          <w:rPr>
            <w:rStyle w:val="Hyperlink"/>
          </w:rPr>
          <w:noBreakHyphen/>
        </w:r>
        <w:r w:rsidR="00D11197" w:rsidRPr="00BC25FF">
          <w:rPr>
            <w:rStyle w:val="Hyperlink"/>
          </w:rPr>
          <w:t>05 ‘AASB 16 Leases Transition Elections’</w:t>
        </w:r>
      </w:hyperlink>
      <w:r w:rsidR="00D11197" w:rsidRPr="00BC25FF">
        <w:t xml:space="preserve"> which prescribes the options that NSW public sector entities are to elect when applying AASB 16.</w:t>
      </w:r>
    </w:p>
    <w:p w14:paraId="7F11947A" w14:textId="77777777" w:rsidR="00D11197" w:rsidRDefault="00D11197" w:rsidP="00D11197">
      <w:pPr>
        <w:pStyle w:val="SingleLineText-Half"/>
      </w:pPr>
    </w:p>
    <w:p w14:paraId="607A0DCB" w14:textId="77777777" w:rsidR="00D11197" w:rsidRPr="00682B01" w:rsidRDefault="00D11197" w:rsidP="00D11197">
      <w:pPr>
        <w:pStyle w:val="Heading-LeftSmall"/>
      </w:pPr>
      <w:r w:rsidRPr="00682B01">
        <w:t>AASB 1059 ‘Service Concession Arrangements: Grantors’</w:t>
      </w:r>
    </w:p>
    <w:p w14:paraId="45702027" w14:textId="6B1DF80E" w:rsidR="00D11197" w:rsidRPr="00E8205C" w:rsidRDefault="00D11197" w:rsidP="00D11197">
      <w:pPr>
        <w:pStyle w:val="BodyText"/>
      </w:pPr>
      <w:r w:rsidRPr="00E8205C">
        <w:t>AASB 1059 provides guidance for public sector entities (grantors) who enter into s</w:t>
      </w:r>
      <w:r>
        <w:t xml:space="preserve">ervice concession arrangements </w:t>
      </w:r>
      <w:r w:rsidRPr="00E8205C">
        <w:t>with private sector operators for the delivery of public services.</w:t>
      </w:r>
    </w:p>
    <w:p w14:paraId="798E5839" w14:textId="6CB95A5B" w:rsidR="00D11197" w:rsidRPr="00BC25FF" w:rsidRDefault="00D11197" w:rsidP="00D11197">
      <w:pPr>
        <w:pStyle w:val="BodyText"/>
      </w:pPr>
      <w:r w:rsidRPr="00E8205C">
        <w:t>An arrangement within the scope of AASB 1059 typically involves a private sector operator designing, constructing or upgrading assets used to provide public services, and operating and maintaining those assets for a specified period of time (e.g. roads, prisons, hospitals and energy suppliers). In return</w:t>
      </w:r>
      <w:r>
        <w:t>,</w:t>
      </w:r>
      <w:r w:rsidRPr="00E8205C">
        <w:t xml:space="preserve"> the private sector operator is compensated by the public</w:t>
      </w:r>
      <w:r w:rsidR="00F95062">
        <w:noBreakHyphen/>
      </w:r>
      <w:r w:rsidRPr="00E8205C">
        <w:t>sector entity.</w:t>
      </w:r>
    </w:p>
    <w:p w14:paraId="64DB7DAA" w14:textId="1DCC48FA" w:rsidR="00D11197" w:rsidRPr="00675794" w:rsidRDefault="00D11197" w:rsidP="00D11197">
      <w:pPr>
        <w:pStyle w:val="BodyText"/>
      </w:pPr>
      <w:r>
        <w:t>AASB 1059 may result in [NSW public sector entities/universities] recognising more service concession assets (SCAs) and liabilities in their financial statements. SCA and liabilities of service concession arrangements will be recognised earlier (when construction of the asset commences, rather than at its completion).</w:t>
      </w:r>
    </w:p>
    <w:p w14:paraId="5370BF71" w14:textId="1B8CDD2C" w:rsidR="00D11197" w:rsidRPr="003057EA" w:rsidRDefault="00D11197" w:rsidP="00D11197">
      <w:pPr>
        <w:pStyle w:val="BodyText"/>
      </w:pPr>
      <w:r w:rsidRPr="003057EA">
        <w:t>AASB 1059 is effective for</w:t>
      </w:r>
      <w:r>
        <w:t xml:space="preserve"> [</w:t>
      </w:r>
      <w:r w:rsidRPr="003057EA">
        <w:t>NSW pub</w:t>
      </w:r>
      <w:r>
        <w:t>lic sector entities for the 2020–21</w:t>
      </w:r>
      <w:r w:rsidRPr="003057EA">
        <w:t xml:space="preserve"> financial year/universities and </w:t>
      </w:r>
      <w:r>
        <w:t xml:space="preserve">their </w:t>
      </w:r>
      <w:r w:rsidRPr="003057EA">
        <w:t>subsidiaries for the year ending 31</w:t>
      </w:r>
      <w:r w:rsidR="00F95062">
        <w:t> December </w:t>
      </w:r>
      <w:r w:rsidRPr="003057EA">
        <w:t>20</w:t>
      </w:r>
      <w:r>
        <w:t>20</w:t>
      </w:r>
      <w:r w:rsidRPr="003057EA">
        <w:t>].</w:t>
      </w:r>
      <w:r>
        <w:t xml:space="preserve"> The AASB deferred the effective date of AASB 1059 from 1</w:t>
      </w:r>
      <w:r w:rsidR="00F95062">
        <w:t> January </w:t>
      </w:r>
      <w:r>
        <w:t>2019 to 1</w:t>
      </w:r>
      <w:r w:rsidR="00F95062">
        <w:t> January </w:t>
      </w:r>
      <w:r>
        <w:t>2020 to assist stakeholders with their implementation efforts.</w:t>
      </w:r>
    </w:p>
    <w:p w14:paraId="276D4657" w14:textId="77777777" w:rsidR="00D11197" w:rsidRPr="00675794" w:rsidRDefault="00D11197" w:rsidP="00D11197">
      <w:pPr>
        <w:pStyle w:val="BodyText"/>
      </w:pPr>
      <w:r w:rsidRPr="00675794">
        <w:t>To prepare for the changes, [</w:t>
      </w:r>
      <w:r w:rsidRPr="000F5A68">
        <w:rPr>
          <w:rStyle w:val="Italic"/>
        </w:rPr>
        <w:t>abbreviated name</w:t>
      </w:r>
      <w:r w:rsidRPr="00675794">
        <w:t>] will need to:</w:t>
      </w:r>
    </w:p>
    <w:p w14:paraId="26304DDA" w14:textId="060D9DD4" w:rsidR="00D11197" w:rsidRPr="00BC25FF" w:rsidRDefault="00D11197" w:rsidP="00D11197">
      <w:pPr>
        <w:pStyle w:val="Bullet1stlevel"/>
      </w:pPr>
      <w:r w:rsidRPr="009472DA">
        <w:t>assess the terms and conditions of existing arrangements with private sector operators to assess whether they fall within the scope of AASB 1059 and meet the criteria for recognition as a SCA or whether they are a leasing or outsourcing arrangement</w:t>
      </w:r>
    </w:p>
    <w:p w14:paraId="26275A4C" w14:textId="77777777" w:rsidR="00D11197" w:rsidRPr="00BC25FF" w:rsidRDefault="00D11197" w:rsidP="00D11197">
      <w:pPr>
        <w:pStyle w:val="Bullet1stlevel"/>
      </w:pPr>
      <w:r>
        <w:t>develop an implementation plan to apply AASB 1059 if an arrangement falls within the scope of AASB 1059</w:t>
      </w:r>
    </w:p>
    <w:p w14:paraId="4EBFCEA1" w14:textId="77777777" w:rsidR="00D11197" w:rsidRPr="00BC25FF" w:rsidRDefault="00D11197" w:rsidP="00D11197">
      <w:pPr>
        <w:pStyle w:val="Bullet1stlevel"/>
      </w:pPr>
      <w:r w:rsidRPr="00675794">
        <w:t>consider the impact on reporting to stakeholders regarding the [</w:t>
      </w:r>
      <w:r w:rsidRPr="00BC25FF">
        <w:rPr>
          <w:rStyle w:val="Italic"/>
        </w:rPr>
        <w:t>abbreviated name</w:t>
      </w:r>
      <w:r w:rsidRPr="00BC25FF">
        <w:t>]’s financial position and performance</w:t>
      </w:r>
    </w:p>
    <w:p w14:paraId="2F66D918" w14:textId="536C945F" w:rsidR="00D11197" w:rsidRPr="00BC25FF" w:rsidRDefault="00D11197" w:rsidP="00D11197">
      <w:pPr>
        <w:pStyle w:val="Bullet1stlevel"/>
      </w:pPr>
      <w:r w:rsidRPr="00675794">
        <w:t>ensure proper guidance is provided to audit and risk committees.</w:t>
      </w:r>
    </w:p>
    <w:p w14:paraId="17A3490F" w14:textId="77777777" w:rsidR="00D11197" w:rsidRPr="00675794" w:rsidRDefault="00D11197" w:rsidP="00D11197">
      <w:pPr>
        <w:pStyle w:val="SingleLineText-Half"/>
      </w:pPr>
    </w:p>
    <w:p w14:paraId="6E368808" w14:textId="77777777" w:rsidR="00D11197" w:rsidRPr="00BC25FF" w:rsidRDefault="00D11197" w:rsidP="00D11197">
      <w:pPr>
        <w:pStyle w:val="BodyText"/>
      </w:pPr>
      <w:r w:rsidRPr="00BC25FF">
        <w:t>[</w:t>
      </w:r>
      <w:r w:rsidRPr="00675794">
        <w:rPr>
          <w:rStyle w:val="Italic"/>
        </w:rPr>
        <w:t>Abbreviated name</w:t>
      </w:r>
      <w:r w:rsidRPr="00BC25FF">
        <w:t xml:space="preserve">] will need to keep detailed working papers evidencing how </w:t>
      </w:r>
      <w:r>
        <w:t xml:space="preserve">it </w:t>
      </w:r>
      <w:r w:rsidRPr="00BC25FF">
        <w:t>ha</w:t>
      </w:r>
      <w:r>
        <w:t>s</w:t>
      </w:r>
      <w:r w:rsidRPr="00BC25FF">
        <w:t xml:space="preserve"> complied with the requirements of AASB 1059, such as working papers to support:</w:t>
      </w:r>
    </w:p>
    <w:p w14:paraId="3D0D94F7" w14:textId="77777777" w:rsidR="00D11197" w:rsidRPr="00BC25FF" w:rsidRDefault="00D11197" w:rsidP="00D11197">
      <w:pPr>
        <w:pStyle w:val="Bullet1stlevel"/>
      </w:pPr>
      <w:r w:rsidRPr="00BC25FF">
        <w:t>key decisions and judgements made, for example whether the arrangement falls within the scope of AASB 1059, the fair value of the SCA at the inception of the arrangement, determining the asset and service components of the arrangement, pattern of revenue recognition under the grant of a right to the operator model</w:t>
      </w:r>
    </w:p>
    <w:p w14:paraId="4D189D86" w14:textId="77777777" w:rsidR="00D11197" w:rsidRPr="00BC25FF" w:rsidRDefault="00D11197" w:rsidP="00D11197">
      <w:pPr>
        <w:pStyle w:val="Bullet1stlevel"/>
      </w:pPr>
      <w:r w:rsidRPr="00BC25FF">
        <w:t>financial statement disclosures.</w:t>
      </w:r>
    </w:p>
    <w:p w14:paraId="445FF6B2" w14:textId="77777777" w:rsidR="00D11197" w:rsidRPr="00675794" w:rsidRDefault="00D11197" w:rsidP="00D11197">
      <w:pPr>
        <w:pStyle w:val="SingleLineText-Half"/>
      </w:pPr>
    </w:p>
    <w:tbl>
      <w:tblPr>
        <w:tblStyle w:val="TableGrid"/>
        <w:tblW w:w="9070" w:type="dxa"/>
        <w:tblLook w:val="04A0" w:firstRow="1" w:lastRow="0" w:firstColumn="1" w:lastColumn="0" w:noHBand="0" w:noVBand="1"/>
      </w:tblPr>
      <w:tblGrid>
        <w:gridCol w:w="9070"/>
      </w:tblGrid>
      <w:tr w:rsidR="00D11197" w:rsidRPr="00FA258B" w14:paraId="671F8880" w14:textId="77777777" w:rsidTr="00C60F3E">
        <w:tc>
          <w:tcPr>
            <w:tcW w:w="9060" w:type="dxa"/>
            <w:shd w:val="clear" w:color="auto" w:fill="D9D9D9" w:themeFill="background1" w:themeFillShade="D9"/>
          </w:tcPr>
          <w:p w14:paraId="3087DC69" w14:textId="77777777" w:rsidR="00D11197" w:rsidRPr="00D11197" w:rsidRDefault="00D11197" w:rsidP="00D11197">
            <w:pPr>
              <w:pStyle w:val="Tabletext"/>
              <w:rPr>
                <w:rStyle w:val="Bold"/>
              </w:rPr>
            </w:pPr>
            <w:r w:rsidRPr="004E6427">
              <w:rPr>
                <w:rStyle w:val="Bold"/>
              </w:rPr>
              <w:t>Delete the paragraph below for universities and their controlled entities.</w:t>
            </w:r>
          </w:p>
        </w:tc>
      </w:tr>
    </w:tbl>
    <w:p w14:paraId="3FC486F8" w14:textId="77777777" w:rsidR="00D11197" w:rsidRPr="00BC25FF" w:rsidRDefault="00D11197" w:rsidP="00D11197">
      <w:pPr>
        <w:pStyle w:val="SingleLineText-Half"/>
      </w:pPr>
    </w:p>
    <w:p w14:paraId="717AA438" w14:textId="11F27B41" w:rsidR="00D11197" w:rsidRPr="00675794" w:rsidRDefault="00D11197" w:rsidP="00D11197">
      <w:pPr>
        <w:pStyle w:val="BodyText"/>
      </w:pPr>
      <w:r w:rsidRPr="00BC25FF">
        <w:t xml:space="preserve">NSW </w:t>
      </w:r>
      <w:r w:rsidR="00F95062">
        <w:t>Treasury</w:t>
      </w:r>
      <w:r w:rsidRPr="00BC25FF">
        <w:t xml:space="preserve"> will issue a Policy and Guidelines Paper to replace </w:t>
      </w:r>
      <w:r w:rsidRPr="00274A41">
        <w:t>TPP 06</w:t>
      </w:r>
      <w:r w:rsidR="00F95062">
        <w:noBreakHyphen/>
      </w:r>
      <w:r w:rsidRPr="00274A41">
        <w:t>8 ‘Accounting for Privately Financed Projects’</w:t>
      </w:r>
      <w:r w:rsidRPr="00BC25FF">
        <w:t xml:space="preserve"> in due course which will include guidance on recognition, measurement, disclosures and determining the appropriate transitional accounting.</w:t>
      </w:r>
    </w:p>
    <w:p w14:paraId="08FAE72B" w14:textId="77777777" w:rsidR="00D11197" w:rsidRPr="00675794" w:rsidRDefault="00D11197" w:rsidP="00D11197">
      <w:pPr>
        <w:pStyle w:val="SingleLineText-Half"/>
      </w:pPr>
    </w:p>
    <w:p w14:paraId="1C83029D" w14:textId="77777777" w:rsidR="00D11197" w:rsidRDefault="00D11197" w:rsidP="00D11197">
      <w:pPr>
        <w:pStyle w:val="BodyText"/>
        <w:sectPr w:rsidR="00D11197" w:rsidSect="00C60F3E">
          <w:pgSz w:w="11907" w:h="16840" w:code="9"/>
          <w:pgMar w:top="1418" w:right="1418" w:bottom="1134" w:left="1418" w:header="720" w:footer="720" w:gutter="0"/>
          <w:cols w:space="708"/>
          <w:docGrid w:linePitch="360"/>
        </w:sectPr>
      </w:pPr>
    </w:p>
    <w:p w14:paraId="6907F808" w14:textId="2917B98E" w:rsidR="00D11197" w:rsidRPr="00BC25FF" w:rsidRDefault="00D11197" w:rsidP="0063146B">
      <w:pPr>
        <w:pStyle w:val="Heading1Red"/>
      </w:pPr>
      <w:bookmarkStart w:id="502" w:name="Appendix_three"/>
      <w:bookmarkStart w:id="503" w:name="_Toc14249456"/>
      <w:r>
        <w:t>APPENDIX THREE</w:t>
      </w:r>
      <w:bookmarkEnd w:id="502"/>
      <w:r>
        <w:t xml:space="preserve"> – RECENTLY TABLED AUDITO</w:t>
      </w:r>
      <w:r w:rsidR="00F1700D">
        <w:t>R</w:t>
      </w:r>
      <w:r w:rsidR="00F95062">
        <w:noBreakHyphen/>
      </w:r>
      <w:r w:rsidR="00F1700D">
        <w:t>G</w:t>
      </w:r>
      <w:r>
        <w:t>ENERAL’S REPORTS TO PARLIAMENT</w:t>
      </w:r>
      <w:bookmarkEnd w:id="503"/>
    </w:p>
    <w:p w14:paraId="71C3312E" w14:textId="01E7F675" w:rsidR="00D11197" w:rsidRPr="00675794" w:rsidRDefault="00D11197" w:rsidP="00D11197">
      <w:pPr>
        <w:pStyle w:val="BodyText"/>
      </w:pPr>
      <w:r w:rsidRPr="00675794">
        <w:t xml:space="preserve">Each year the </w:t>
      </w:r>
      <w:r>
        <w:t>Audito</w:t>
      </w:r>
      <w:r w:rsidR="00F1700D">
        <w:t>r</w:t>
      </w:r>
      <w:r w:rsidR="00F95062">
        <w:noBreakHyphen/>
      </w:r>
      <w:r w:rsidR="00F1700D">
        <w:t>G</w:t>
      </w:r>
      <w:r>
        <w:t>eneral</w:t>
      </w:r>
      <w:r w:rsidRPr="00675794">
        <w:t xml:space="preserve"> produces Financial Audit</w:t>
      </w:r>
      <w:r>
        <w:t xml:space="preserve">, </w:t>
      </w:r>
      <w:r w:rsidRPr="00675794">
        <w:t>Performance Audit</w:t>
      </w:r>
      <w:r>
        <w:t xml:space="preserve"> and Special</w:t>
      </w:r>
      <w:r w:rsidRPr="00675794">
        <w:t xml:space="preserve"> Reports to Parliament. Recently tabled Reports which may be relevant to [</w:t>
      </w:r>
      <w:r w:rsidRPr="00675794">
        <w:rPr>
          <w:rStyle w:val="Italic"/>
        </w:rPr>
        <w:t>abbreviated name</w:t>
      </w:r>
      <w:r w:rsidRPr="00675794">
        <w:t>] include: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9070"/>
      </w:tblGrid>
      <w:tr w:rsidR="00D11197" w:rsidRPr="00FA258B" w14:paraId="649B2CFD" w14:textId="77777777" w:rsidTr="00C60F3E">
        <w:tc>
          <w:tcPr>
            <w:tcW w:w="5000" w:type="pct"/>
            <w:shd w:val="clear" w:color="auto" w:fill="D9D9D9" w:themeFill="background1" w:themeFillShade="D9"/>
          </w:tcPr>
          <w:p w14:paraId="6842AF97" w14:textId="3A2FB50F" w:rsidR="00D11197" w:rsidRPr="00D11197" w:rsidRDefault="00D11197" w:rsidP="00D11197">
            <w:pPr>
              <w:pStyle w:val="Tabletext"/>
              <w:rPr>
                <w:rStyle w:val="Bold"/>
              </w:rPr>
            </w:pPr>
            <w:r w:rsidRPr="00FA258B">
              <w:rPr>
                <w:rStyle w:val="Bold"/>
              </w:rPr>
              <w:t xml:space="preserve">Include a summary of recently tabled </w:t>
            </w:r>
            <w:r w:rsidRPr="00D11197">
              <w:rPr>
                <w:rStyle w:val="Bold"/>
              </w:rPr>
              <w:t>Audito</w:t>
            </w:r>
            <w:r w:rsidR="00F1700D">
              <w:rPr>
                <w:rStyle w:val="Bold"/>
              </w:rPr>
              <w:t>r</w:t>
            </w:r>
            <w:r w:rsidR="00F95062">
              <w:rPr>
                <w:rStyle w:val="Bold"/>
              </w:rPr>
              <w:noBreakHyphen/>
            </w:r>
            <w:r w:rsidR="00F1700D">
              <w:rPr>
                <w:rStyle w:val="Bold"/>
              </w:rPr>
              <w:t>G</w:t>
            </w:r>
            <w:r w:rsidRPr="00D11197">
              <w:rPr>
                <w:rStyle w:val="Bold"/>
              </w:rPr>
              <w:t xml:space="preserve">eneral’s Reports relevant to the auditee. </w:t>
            </w:r>
          </w:p>
          <w:p w14:paraId="615713B0" w14:textId="77777777" w:rsidR="00D11197" w:rsidRPr="00D11197" w:rsidRDefault="00D11197" w:rsidP="00D11197">
            <w:pPr>
              <w:pStyle w:val="Tabletext"/>
              <w:rPr>
                <w:rStyle w:val="Bold"/>
              </w:rPr>
            </w:pPr>
            <w:r w:rsidRPr="00FA258B">
              <w:rPr>
                <w:rStyle w:val="Bold"/>
              </w:rPr>
              <w:t>An example has been included below.</w:t>
            </w:r>
          </w:p>
        </w:tc>
      </w:tr>
    </w:tbl>
    <w:p w14:paraId="3019CEE3" w14:textId="77777777" w:rsidR="00D11197" w:rsidRPr="00675794" w:rsidRDefault="00D11197" w:rsidP="00D11197">
      <w:pPr>
        <w:pStyle w:val="BodyText"/>
      </w:pPr>
    </w:p>
    <w:tbl>
      <w:tblPr>
        <w:tblStyle w:val="TableGrid"/>
        <w:tblW w:w="907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886"/>
        <w:gridCol w:w="5242"/>
      </w:tblGrid>
      <w:tr w:rsidR="00D11197" w:rsidRPr="00675794" w14:paraId="546A0B22" w14:textId="77777777" w:rsidTr="005920BA">
        <w:trPr>
          <w:tblHeader/>
        </w:trPr>
        <w:tc>
          <w:tcPr>
            <w:tcW w:w="1942" w:type="dxa"/>
            <w:tcBorders>
              <w:bottom w:val="single" w:sz="18" w:space="0" w:color="D9AD5F"/>
            </w:tcBorders>
            <w:shd w:val="clear" w:color="auto" w:fill="auto"/>
          </w:tcPr>
          <w:p w14:paraId="6922A04C" w14:textId="77777777" w:rsidR="00D11197" w:rsidRPr="00D11197" w:rsidRDefault="00D11197" w:rsidP="00D11197">
            <w:pPr>
              <w:pStyle w:val="Tableheading-leftaligned"/>
            </w:pPr>
            <w:r w:rsidRPr="00675794">
              <w:t>Name</w:t>
            </w:r>
          </w:p>
        </w:tc>
        <w:tc>
          <w:tcPr>
            <w:tcW w:w="1886" w:type="dxa"/>
            <w:tcBorders>
              <w:bottom w:val="single" w:sz="18" w:space="0" w:color="D9AD5F"/>
            </w:tcBorders>
            <w:shd w:val="clear" w:color="auto" w:fill="auto"/>
          </w:tcPr>
          <w:p w14:paraId="706C6889" w14:textId="77777777" w:rsidR="00D11197" w:rsidRPr="00D11197" w:rsidRDefault="00D11197" w:rsidP="00D11197">
            <w:pPr>
              <w:pStyle w:val="Tableheading-leftaligned"/>
            </w:pPr>
            <w:r w:rsidRPr="00675794">
              <w:t>Issued</w:t>
            </w:r>
          </w:p>
        </w:tc>
        <w:tc>
          <w:tcPr>
            <w:tcW w:w="5242" w:type="dxa"/>
            <w:tcBorders>
              <w:bottom w:val="single" w:sz="18" w:space="0" w:color="D9AD5F"/>
            </w:tcBorders>
            <w:shd w:val="clear" w:color="auto" w:fill="auto"/>
          </w:tcPr>
          <w:p w14:paraId="09F34350" w14:textId="77777777" w:rsidR="00D11197" w:rsidRPr="00D11197" w:rsidRDefault="00D11197" w:rsidP="00D11197">
            <w:pPr>
              <w:pStyle w:val="Tableheading-leftaligned"/>
            </w:pPr>
            <w:r w:rsidRPr="00675794">
              <w:t>Overview</w:t>
            </w:r>
          </w:p>
        </w:tc>
      </w:tr>
      <w:tr w:rsidR="00D11197" w:rsidRPr="00675794" w14:paraId="63CF34FA" w14:textId="77777777" w:rsidTr="005920BA">
        <w:tc>
          <w:tcPr>
            <w:tcW w:w="9070" w:type="dxa"/>
            <w:gridSpan w:val="3"/>
            <w:tcBorders>
              <w:top w:val="single" w:sz="18" w:space="0" w:color="D9AD5F"/>
              <w:bottom w:val="nil"/>
            </w:tcBorders>
            <w:shd w:val="clear" w:color="auto" w:fill="EFEFF0"/>
          </w:tcPr>
          <w:p w14:paraId="033A049A" w14:textId="5341D57E" w:rsidR="00D11197" w:rsidRPr="00D11197" w:rsidRDefault="00D11197" w:rsidP="00D11197">
            <w:pPr>
              <w:pStyle w:val="Tableheading-leftaligned"/>
            </w:pPr>
            <w:r w:rsidRPr="00675794">
              <w:t xml:space="preserve">Financial </w:t>
            </w:r>
            <w:r w:rsidR="00355883">
              <w:t>a</w:t>
            </w:r>
            <w:r w:rsidRPr="00675794">
              <w:t>udit</w:t>
            </w:r>
          </w:p>
        </w:tc>
      </w:tr>
      <w:tr w:rsidR="00D11197" w:rsidRPr="00675794" w14:paraId="4554E892" w14:textId="77777777" w:rsidTr="005920BA">
        <w:tc>
          <w:tcPr>
            <w:tcW w:w="1942" w:type="dxa"/>
          </w:tcPr>
          <w:p w14:paraId="1F303B08" w14:textId="77777777" w:rsidR="00D11197" w:rsidRPr="00D11197" w:rsidRDefault="00D11197" w:rsidP="00D11197">
            <w:pPr>
              <w:pStyle w:val="Tabletext"/>
            </w:pPr>
            <w:r w:rsidRPr="004F60A3">
              <w:t>[</w:t>
            </w:r>
            <w:r w:rsidRPr="00D11197">
              <w:rPr>
                <w:rStyle w:val="Italic"/>
              </w:rPr>
              <w:t>Universities 2018 audits</w:t>
            </w:r>
            <w:r w:rsidRPr="00D11197">
              <w:t>]</w:t>
            </w:r>
          </w:p>
        </w:tc>
        <w:tc>
          <w:tcPr>
            <w:tcW w:w="1886" w:type="dxa"/>
          </w:tcPr>
          <w:p w14:paraId="18557514" w14:textId="104D19FA" w:rsidR="00D11197" w:rsidRPr="00D11197" w:rsidRDefault="00D11197" w:rsidP="00D11197">
            <w:pPr>
              <w:pStyle w:val="Tabletext"/>
            </w:pPr>
            <w:r w:rsidRPr="004F60A3">
              <w:t>[</w:t>
            </w:r>
            <w:r w:rsidRPr="00D11197">
              <w:rPr>
                <w:rStyle w:val="Italic"/>
              </w:rPr>
              <w:t>31</w:t>
            </w:r>
            <w:r w:rsidR="00F95062">
              <w:rPr>
                <w:rStyle w:val="Italic"/>
              </w:rPr>
              <w:t> May </w:t>
            </w:r>
            <w:r w:rsidRPr="00D11197">
              <w:rPr>
                <w:rStyle w:val="Italic"/>
              </w:rPr>
              <w:t>2019</w:t>
            </w:r>
            <w:r w:rsidRPr="00D11197">
              <w:t>]</w:t>
            </w:r>
          </w:p>
        </w:tc>
        <w:tc>
          <w:tcPr>
            <w:tcW w:w="5242" w:type="dxa"/>
          </w:tcPr>
          <w:p w14:paraId="21794B92" w14:textId="77777777" w:rsidR="00D11197" w:rsidRPr="00D11197" w:rsidRDefault="00D11197" w:rsidP="00D11197">
            <w:pPr>
              <w:pStyle w:val="Tabletext"/>
            </w:pPr>
            <w:r w:rsidRPr="004F60A3">
              <w:t>[</w:t>
            </w:r>
            <w:r w:rsidRPr="00D11197">
              <w:rPr>
                <w:rStyle w:val="Italic"/>
              </w:rPr>
              <w:t>This report focuses on our observations on the common issues identified in our audits of the financial statements of the ten NSW universities and their controlled entities in 2018</w:t>
            </w:r>
            <w:r w:rsidRPr="00D11197">
              <w:t>.]</w:t>
            </w:r>
          </w:p>
        </w:tc>
      </w:tr>
      <w:tr w:rsidR="00D11197" w:rsidRPr="00675794" w14:paraId="34BB8027" w14:textId="77777777" w:rsidTr="005920BA">
        <w:tc>
          <w:tcPr>
            <w:tcW w:w="1942" w:type="dxa"/>
            <w:tcBorders>
              <w:bottom w:val="nil"/>
            </w:tcBorders>
          </w:tcPr>
          <w:p w14:paraId="656AFC48" w14:textId="77777777" w:rsidR="00D11197" w:rsidRPr="00D11197" w:rsidRDefault="00D11197" w:rsidP="00D11197">
            <w:pPr>
              <w:pStyle w:val="Tabletext"/>
            </w:pPr>
            <w:r w:rsidRPr="004F60A3">
              <w:t>[</w:t>
            </w:r>
            <w:r w:rsidRPr="00D11197">
              <w:rPr>
                <w:rStyle w:val="Italic"/>
              </w:rPr>
              <w:t>Internal Controls and Governance</w:t>
            </w:r>
            <w:r w:rsidRPr="00D11197">
              <w:t>]</w:t>
            </w:r>
          </w:p>
        </w:tc>
        <w:tc>
          <w:tcPr>
            <w:tcW w:w="1886" w:type="dxa"/>
            <w:tcBorders>
              <w:bottom w:val="nil"/>
            </w:tcBorders>
          </w:tcPr>
          <w:p w14:paraId="545D4ECA" w14:textId="4DF5737F" w:rsidR="00D11197" w:rsidRPr="00D11197" w:rsidRDefault="00D11197" w:rsidP="00D11197">
            <w:pPr>
              <w:pStyle w:val="Tabletext"/>
            </w:pPr>
            <w:r w:rsidRPr="004F60A3">
              <w:t>[</w:t>
            </w:r>
            <w:r w:rsidRPr="00D11197">
              <w:rPr>
                <w:rStyle w:val="Italic"/>
              </w:rPr>
              <w:t>30</w:t>
            </w:r>
            <w:r w:rsidR="00F95062">
              <w:rPr>
                <w:rStyle w:val="Italic"/>
              </w:rPr>
              <w:t> October </w:t>
            </w:r>
            <w:r w:rsidRPr="00D11197">
              <w:rPr>
                <w:rStyle w:val="Italic"/>
              </w:rPr>
              <w:t>2018</w:t>
            </w:r>
            <w:r w:rsidRPr="00D11197">
              <w:t>]</w:t>
            </w:r>
          </w:p>
        </w:tc>
        <w:tc>
          <w:tcPr>
            <w:tcW w:w="5242" w:type="dxa"/>
            <w:tcBorders>
              <w:bottom w:val="nil"/>
            </w:tcBorders>
          </w:tcPr>
          <w:p w14:paraId="1AA48629" w14:textId="113D93C1" w:rsidR="00D11197" w:rsidRPr="00D11197" w:rsidRDefault="00D11197" w:rsidP="00D11197">
            <w:pPr>
              <w:pStyle w:val="Tabletext"/>
            </w:pPr>
            <w:r w:rsidRPr="004F60A3">
              <w:t>[</w:t>
            </w:r>
            <w:r w:rsidRPr="00D11197">
              <w:rPr>
                <w:rStyle w:val="Italic"/>
              </w:rPr>
              <w:t xml:space="preserve">This report focuses on the governance and internal controls of </w:t>
            </w:r>
            <w:r w:rsidR="00F95062">
              <w:rPr>
                <w:rStyle w:val="Italic"/>
              </w:rPr>
              <w:t>NSW Government</w:t>
            </w:r>
            <w:r w:rsidRPr="00D11197">
              <w:rPr>
                <w:rStyle w:val="Italic"/>
              </w:rPr>
              <w:t xml:space="preserve"> agencies. However, the matters covered in this report are relevant to all public</w:t>
            </w:r>
            <w:r w:rsidR="00F95062">
              <w:rPr>
                <w:rStyle w:val="Italic"/>
              </w:rPr>
              <w:noBreakHyphen/>
            </w:r>
            <w:r w:rsidRPr="00D11197">
              <w:rPr>
                <w:rStyle w:val="Italic"/>
              </w:rPr>
              <w:t>sector entities. The report covered common internal control issues at the State’s top 40 agencies and the Audito</w:t>
            </w:r>
            <w:r w:rsidR="00F1700D">
              <w:rPr>
                <w:rStyle w:val="Italic"/>
              </w:rPr>
              <w:t>r</w:t>
            </w:r>
            <w:r w:rsidR="00F95062">
              <w:rPr>
                <w:rStyle w:val="Italic"/>
              </w:rPr>
              <w:noBreakHyphen/>
            </w:r>
            <w:r w:rsidR="00F1700D">
              <w:rPr>
                <w:rStyle w:val="Italic"/>
              </w:rPr>
              <w:t>G</w:t>
            </w:r>
            <w:r w:rsidRPr="00D11197">
              <w:rPr>
                <w:rStyle w:val="Italic"/>
              </w:rPr>
              <w:t>eneral’s recommendations to improve policies, practices and procedures.</w:t>
            </w:r>
            <w:r w:rsidRPr="00D11197">
              <w:t>]</w:t>
            </w:r>
          </w:p>
        </w:tc>
      </w:tr>
      <w:tr w:rsidR="00D11197" w:rsidRPr="00675794" w14:paraId="0A51DB8B" w14:textId="77777777" w:rsidTr="005920BA">
        <w:tc>
          <w:tcPr>
            <w:tcW w:w="9070" w:type="dxa"/>
            <w:gridSpan w:val="3"/>
            <w:tcBorders>
              <w:bottom w:val="nil"/>
            </w:tcBorders>
            <w:shd w:val="clear" w:color="auto" w:fill="EFEFF0"/>
          </w:tcPr>
          <w:p w14:paraId="183026EC" w14:textId="025A13B5" w:rsidR="00D11197" w:rsidRPr="00D11197" w:rsidRDefault="00D11197" w:rsidP="00D11197">
            <w:pPr>
              <w:pStyle w:val="Tableheading-leftaligned"/>
            </w:pPr>
            <w:r w:rsidRPr="004F60A3">
              <w:t xml:space="preserve">Performance </w:t>
            </w:r>
            <w:r w:rsidR="00355883">
              <w:t>a</w:t>
            </w:r>
            <w:r w:rsidRPr="004F60A3">
              <w:t>udit</w:t>
            </w:r>
          </w:p>
        </w:tc>
      </w:tr>
      <w:tr w:rsidR="00D11197" w:rsidRPr="00675794" w14:paraId="4AF1162B" w14:textId="77777777" w:rsidTr="005920BA">
        <w:tc>
          <w:tcPr>
            <w:tcW w:w="1942" w:type="dxa"/>
            <w:tcBorders>
              <w:top w:val="nil"/>
              <w:bottom w:val="nil"/>
            </w:tcBorders>
          </w:tcPr>
          <w:p w14:paraId="016012A1" w14:textId="77777777" w:rsidR="00D11197" w:rsidRPr="00D11197" w:rsidRDefault="00D11197" w:rsidP="00D11197">
            <w:pPr>
              <w:pStyle w:val="Tabletext"/>
            </w:pPr>
            <w:r w:rsidRPr="004F60A3">
              <w:t>[</w:t>
            </w:r>
            <w:r w:rsidRPr="00D11197">
              <w:rPr>
                <w:rStyle w:val="Italic"/>
              </w:rPr>
              <w:t>Property Asset Utilisation</w:t>
            </w:r>
            <w:r w:rsidRPr="00D11197">
              <w:t>]</w:t>
            </w:r>
          </w:p>
        </w:tc>
        <w:tc>
          <w:tcPr>
            <w:tcW w:w="1886" w:type="dxa"/>
            <w:tcBorders>
              <w:top w:val="nil"/>
              <w:bottom w:val="nil"/>
            </w:tcBorders>
          </w:tcPr>
          <w:p w14:paraId="5DB767A1" w14:textId="652C974D" w:rsidR="00D11197" w:rsidRPr="00D11197" w:rsidRDefault="00D11197" w:rsidP="00D11197">
            <w:pPr>
              <w:pStyle w:val="Tabletext"/>
            </w:pPr>
            <w:r w:rsidRPr="004F60A3">
              <w:t>[</w:t>
            </w:r>
            <w:r w:rsidRPr="00D11197">
              <w:rPr>
                <w:rStyle w:val="Italic"/>
              </w:rPr>
              <w:t>18</w:t>
            </w:r>
            <w:r w:rsidR="00F95062">
              <w:rPr>
                <w:rStyle w:val="Italic"/>
              </w:rPr>
              <w:t> December </w:t>
            </w:r>
            <w:r w:rsidRPr="00D11197">
              <w:rPr>
                <w:rStyle w:val="Italic"/>
              </w:rPr>
              <w:t>2018</w:t>
            </w:r>
            <w:r w:rsidRPr="00D11197">
              <w:t>]</w:t>
            </w:r>
          </w:p>
        </w:tc>
        <w:tc>
          <w:tcPr>
            <w:tcW w:w="5242" w:type="dxa"/>
            <w:tcBorders>
              <w:top w:val="nil"/>
              <w:bottom w:val="nil"/>
            </w:tcBorders>
          </w:tcPr>
          <w:p w14:paraId="600F6DB8" w14:textId="7EBB3681" w:rsidR="00D11197" w:rsidRPr="00D11197" w:rsidRDefault="00D11197" w:rsidP="00D11197">
            <w:pPr>
              <w:pStyle w:val="Tabletext"/>
            </w:pPr>
            <w:r w:rsidRPr="004F60A3">
              <w:t>[</w:t>
            </w:r>
            <w:r w:rsidRPr="00D11197">
              <w:rPr>
                <w:rStyle w:val="Italic"/>
              </w:rPr>
              <w:t xml:space="preserve">This audit assessed whether Property NSW is effective in the management of </w:t>
            </w:r>
            <w:r w:rsidR="00F95062">
              <w:rPr>
                <w:rStyle w:val="Italic"/>
              </w:rPr>
              <w:t>NSW Government</w:t>
            </w:r>
            <w:r w:rsidRPr="00D11197">
              <w:rPr>
                <w:rStyle w:val="Italic"/>
              </w:rPr>
              <w:t xml:space="preserve"> owned and leased commercial office property. To do this, we assessed whether </w:t>
            </w:r>
            <w:r w:rsidR="00F95062">
              <w:rPr>
                <w:rStyle w:val="Italic"/>
              </w:rPr>
              <w:t>NSW Government</w:t>
            </w:r>
            <w:r w:rsidRPr="00D11197">
              <w:rPr>
                <w:rStyle w:val="Italic"/>
              </w:rPr>
              <w:t xml:space="preserve"> leased commercial office space is being effectively utilised and whether the Government Property Register, a register of all government owned property, is accurate and up</w:t>
            </w:r>
            <w:r w:rsidR="00F95062">
              <w:rPr>
                <w:rStyle w:val="Italic"/>
              </w:rPr>
              <w:noBreakHyphen/>
            </w:r>
            <w:r w:rsidRPr="00D11197">
              <w:rPr>
                <w:rStyle w:val="Italic"/>
              </w:rPr>
              <w:t>to</w:t>
            </w:r>
            <w:r w:rsidR="00F95062">
              <w:rPr>
                <w:rStyle w:val="Italic"/>
              </w:rPr>
              <w:noBreakHyphen/>
            </w:r>
            <w:r w:rsidRPr="00D11197">
              <w:rPr>
                <w:rStyle w:val="Italic"/>
              </w:rPr>
              <w:t>date.</w:t>
            </w:r>
            <w:r w:rsidRPr="00D11197">
              <w:t>]</w:t>
            </w:r>
          </w:p>
        </w:tc>
      </w:tr>
      <w:tr w:rsidR="00D11197" w:rsidRPr="00675794" w14:paraId="0B58363A" w14:textId="77777777" w:rsidTr="005920BA">
        <w:tc>
          <w:tcPr>
            <w:tcW w:w="9070" w:type="dxa"/>
            <w:gridSpan w:val="3"/>
            <w:tcBorders>
              <w:bottom w:val="nil"/>
            </w:tcBorders>
            <w:shd w:val="clear" w:color="auto" w:fill="EFEFF0"/>
          </w:tcPr>
          <w:p w14:paraId="1DEC3FCC" w14:textId="6F26F47D" w:rsidR="00D11197" w:rsidRPr="00D11197" w:rsidRDefault="00D11197" w:rsidP="00D11197">
            <w:pPr>
              <w:pStyle w:val="Tableheading-leftaligned"/>
            </w:pPr>
            <w:r w:rsidRPr="004F60A3">
              <w:t xml:space="preserve">Special </w:t>
            </w:r>
            <w:r w:rsidR="00355883">
              <w:t>r</w:t>
            </w:r>
            <w:r w:rsidRPr="004F60A3">
              <w:t>eports</w:t>
            </w:r>
          </w:p>
        </w:tc>
      </w:tr>
      <w:tr w:rsidR="00D11197" w:rsidRPr="00675794" w14:paraId="31751BDD" w14:textId="77777777" w:rsidTr="005920BA">
        <w:tc>
          <w:tcPr>
            <w:tcW w:w="1942" w:type="dxa"/>
            <w:tcBorders>
              <w:top w:val="nil"/>
            </w:tcBorders>
          </w:tcPr>
          <w:p w14:paraId="5224FCA0" w14:textId="77777777" w:rsidR="00D11197" w:rsidRPr="00D11197" w:rsidRDefault="00D11197" w:rsidP="00D11197">
            <w:pPr>
              <w:pStyle w:val="Tabletext"/>
            </w:pPr>
            <w:r w:rsidRPr="004F60A3">
              <w:t>[</w:t>
            </w:r>
            <w:r w:rsidRPr="00D11197">
              <w:rPr>
                <w:rStyle w:val="Italic"/>
              </w:rPr>
              <w:t>Procurement and reporting of consultancy services</w:t>
            </w:r>
            <w:r w:rsidRPr="00D11197">
              <w:t>]</w:t>
            </w:r>
          </w:p>
        </w:tc>
        <w:tc>
          <w:tcPr>
            <w:tcW w:w="1886" w:type="dxa"/>
            <w:tcBorders>
              <w:top w:val="nil"/>
            </w:tcBorders>
          </w:tcPr>
          <w:p w14:paraId="6FFC70BF" w14:textId="3ACB8DF6" w:rsidR="00D11197" w:rsidRPr="00D11197" w:rsidRDefault="00D11197" w:rsidP="00D11197">
            <w:pPr>
              <w:pStyle w:val="Tabletext"/>
            </w:pPr>
            <w:r w:rsidRPr="004F60A3">
              <w:t>[</w:t>
            </w:r>
            <w:r w:rsidRPr="00D11197">
              <w:rPr>
                <w:rStyle w:val="Italic"/>
              </w:rPr>
              <w:t>4</w:t>
            </w:r>
            <w:r w:rsidR="00F95062">
              <w:rPr>
                <w:rStyle w:val="Italic"/>
              </w:rPr>
              <w:t> September </w:t>
            </w:r>
            <w:r w:rsidRPr="00D11197">
              <w:rPr>
                <w:rStyle w:val="Italic"/>
              </w:rPr>
              <w:t>2018</w:t>
            </w:r>
            <w:r w:rsidRPr="00D11197">
              <w:t>]</w:t>
            </w:r>
          </w:p>
        </w:tc>
        <w:tc>
          <w:tcPr>
            <w:tcW w:w="5242" w:type="dxa"/>
            <w:tcBorders>
              <w:top w:val="nil"/>
            </w:tcBorders>
          </w:tcPr>
          <w:p w14:paraId="427E3B6F" w14:textId="0F5E03F2" w:rsidR="00D11197" w:rsidRPr="00D11197" w:rsidRDefault="00D11197" w:rsidP="00D11197">
            <w:pPr>
              <w:pStyle w:val="Tabletext"/>
            </w:pPr>
            <w:r w:rsidRPr="004F60A3">
              <w:t>[</w:t>
            </w:r>
            <w:r w:rsidRPr="00D11197">
              <w:rPr>
                <w:rStyle w:val="Italic"/>
              </w:rPr>
              <w:t>This report examined how 12 agencies complied with their procurement and reporting obligations for consultancy services between 1</w:t>
            </w:r>
            <w:r w:rsidR="00F95062">
              <w:rPr>
                <w:rStyle w:val="Italic"/>
              </w:rPr>
              <w:t> July </w:t>
            </w:r>
            <w:r w:rsidRPr="00D11197">
              <w:rPr>
                <w:rStyle w:val="Italic"/>
              </w:rPr>
              <w:t>2016 and 31</w:t>
            </w:r>
            <w:r w:rsidR="00F95062">
              <w:rPr>
                <w:rStyle w:val="Italic"/>
              </w:rPr>
              <w:t> March </w:t>
            </w:r>
            <w:r w:rsidRPr="00D11197">
              <w:rPr>
                <w:rStyle w:val="Italic"/>
              </w:rPr>
              <w:t>2018. It assessed:</w:t>
            </w:r>
          </w:p>
          <w:p w14:paraId="7FBAE876" w14:textId="24CA0972" w:rsidR="00D11197" w:rsidRPr="00D11197" w:rsidRDefault="00D11197" w:rsidP="00D11197">
            <w:pPr>
              <w:pStyle w:val="Tablebullet"/>
              <w:rPr>
                <w:rStyle w:val="Italic"/>
              </w:rPr>
            </w:pPr>
            <w:r w:rsidRPr="004F60A3">
              <w:rPr>
                <w:rStyle w:val="Italic"/>
              </w:rPr>
              <w:t>agency compliance with relevant procurement requirements for their use of consultants</w:t>
            </w:r>
          </w:p>
          <w:p w14:paraId="40750096" w14:textId="75D92C88" w:rsidR="00D11197" w:rsidRPr="00D11197" w:rsidRDefault="00D11197" w:rsidP="00D11197">
            <w:pPr>
              <w:pStyle w:val="Tablebullet"/>
              <w:rPr>
                <w:rStyle w:val="Italic"/>
              </w:rPr>
            </w:pPr>
            <w:r w:rsidRPr="004F60A3">
              <w:rPr>
                <w:rStyle w:val="Italic"/>
              </w:rPr>
              <w:t>agency compliance with disclosure requirements about consultancy expenditure in their annual reports</w:t>
            </w:r>
          </w:p>
          <w:p w14:paraId="63A44EEF" w14:textId="77777777" w:rsidR="00D11197" w:rsidRPr="00D11197" w:rsidRDefault="00D11197" w:rsidP="00D11197">
            <w:pPr>
              <w:pStyle w:val="Tablebullet"/>
            </w:pPr>
            <w:r w:rsidRPr="004F60A3">
              <w:rPr>
                <w:rStyle w:val="Italic"/>
              </w:rPr>
              <w:t>the effectiveness of the NSW Procurement Board in fulfilling its functions to oversee and support agency procurement of consultancy services</w:t>
            </w:r>
            <w:r w:rsidRPr="00D11197">
              <w:rPr>
                <w:rStyle w:val="Italic"/>
              </w:rPr>
              <w:t>.</w:t>
            </w:r>
            <w:r w:rsidRPr="00D11197">
              <w:t>]</w:t>
            </w:r>
          </w:p>
        </w:tc>
      </w:tr>
    </w:tbl>
    <w:p w14:paraId="74BABC7B" w14:textId="77777777" w:rsidR="00D11197" w:rsidRPr="00675794" w:rsidRDefault="00D11197" w:rsidP="00D11197">
      <w:pPr>
        <w:pStyle w:val="SingleLineText-Half"/>
      </w:pPr>
    </w:p>
    <w:p w14:paraId="3ADDBAA9" w14:textId="77777777" w:rsidR="00D11197" w:rsidRDefault="00D11197">
      <w:pPr>
        <w:pStyle w:val="BodyText"/>
      </w:pPr>
      <w:r w:rsidRPr="00675794">
        <w:t xml:space="preserve">A full list of our tabled Reports is available on the Audit Office </w:t>
      </w:r>
      <w:hyperlink r:id="rId44" w:history="1">
        <w:r w:rsidRPr="00675794">
          <w:rPr>
            <w:rStyle w:val="Hyperlink"/>
          </w:rPr>
          <w:t>website</w:t>
        </w:r>
      </w:hyperlink>
      <w:r w:rsidRPr="00675794">
        <w:t>.</w:t>
      </w:r>
    </w:p>
    <w:p w14:paraId="674EC886" w14:textId="77777777" w:rsidR="00D11197" w:rsidRPr="00675794" w:rsidRDefault="00D11197" w:rsidP="00D11197">
      <w:pPr>
        <w:pStyle w:val="BodyText"/>
        <w:sectPr w:rsidR="00D11197" w:rsidRPr="00675794" w:rsidSect="00C60F3E">
          <w:pgSz w:w="11907" w:h="16840" w:code="9"/>
          <w:pgMar w:top="1418" w:right="1418" w:bottom="1134" w:left="1418" w:header="720" w:footer="720" w:gutter="0"/>
          <w:cols w:space="708"/>
          <w:docGrid w:linePitch="360"/>
        </w:sectPr>
      </w:pPr>
    </w:p>
    <w:p w14:paraId="01F7E471" w14:textId="0A5E3FF6" w:rsidR="001E160A" w:rsidRPr="00D11197" w:rsidRDefault="00114898" w:rsidP="005920BA">
      <w:pPr>
        <w:pStyle w:val="BodyText"/>
      </w:pPr>
      <w:r>
        <w:rPr>
          <w:noProof/>
        </w:rPr>
        <w:drawing>
          <wp:anchor distT="0" distB="0" distL="114300" distR="114300" simplePos="0" relativeHeight="251664384" behindDoc="0" locked="0" layoutInCell="1" allowOverlap="1" wp14:anchorId="765E0193" wp14:editId="6D28AABC">
            <wp:simplePos x="0" y="0"/>
            <wp:positionH relativeFrom="page">
              <wp:align>right</wp:align>
            </wp:positionH>
            <wp:positionV relativeFrom="paragraph">
              <wp:posOffset>-899132</wp:posOffset>
            </wp:positionV>
            <wp:extent cx="7545380" cy="10670848"/>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ages from Cover artwork6.pdf.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545380" cy="10670848"/>
                    </a:xfrm>
                    <a:prstGeom prst="rect">
                      <a:avLst/>
                    </a:prstGeom>
                  </pic:spPr>
                </pic:pic>
              </a:graphicData>
            </a:graphic>
            <wp14:sizeRelH relativeFrom="margin">
              <wp14:pctWidth>0</wp14:pctWidth>
            </wp14:sizeRelH>
            <wp14:sizeRelV relativeFrom="margin">
              <wp14:pctHeight>0</wp14:pctHeight>
            </wp14:sizeRelV>
          </wp:anchor>
        </w:drawing>
      </w:r>
    </w:p>
    <w:sectPr w:rsidR="001E160A" w:rsidRPr="00D11197" w:rsidSect="00EB3846">
      <w:headerReference w:type="default" r:id="rId46"/>
      <w:footerReference w:type="default" r:id="rId47"/>
      <w:pgSz w:w="11906" w:h="16838"/>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7BF7" w14:textId="77777777" w:rsidR="00B6415A" w:rsidRDefault="00B6415A" w:rsidP="00211AED">
      <w:r>
        <w:separator/>
      </w:r>
    </w:p>
  </w:endnote>
  <w:endnote w:type="continuationSeparator" w:id="0">
    <w:p w14:paraId="2F9B04E2" w14:textId="77777777" w:rsidR="00B6415A" w:rsidRDefault="00B6415A"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E0C4" w14:textId="09DED6F0" w:rsidR="005920BA" w:rsidRPr="003622E5" w:rsidRDefault="00603FED" w:rsidP="00C60F3E">
    <w:pPr>
      <w:pStyle w:val="Tabletext"/>
      <w:rPr>
        <w:rStyle w:val="Italic"/>
      </w:rPr>
    </w:pPr>
    <w:r>
      <w:rPr>
        <w:rStyle w:val="Italic"/>
      </w:rPr>
      <w:t>17</w:t>
    </w:r>
    <w:r w:rsidR="001B451A">
      <w:rPr>
        <w:rStyle w:val="Italic"/>
      </w:rPr>
      <w:t>/07</w:t>
    </w:r>
    <w:r w:rsidR="005920BA">
      <w:rPr>
        <w:rStyle w:val="Italic"/>
      </w:rPr>
      <w:t>/19</w:t>
    </w:r>
    <w:r w:rsidR="005920BA">
      <w:rPr>
        <w:rStyle w:val="Italic"/>
      </w:rPr>
      <w:tab/>
    </w:r>
    <w:r w:rsidR="005920BA">
      <w:rPr>
        <w:rStyle w:val="Italic"/>
      </w:rPr>
      <w:tab/>
    </w:r>
    <w:r w:rsidR="005920BA" w:rsidRPr="003622E5">
      <w:rPr>
        <w:rStyle w:val="Italic"/>
      </w:rPr>
      <w:tab/>
    </w:r>
    <w:r w:rsidR="005920BA">
      <w:rPr>
        <w:rStyle w:val="Italic"/>
      </w:rPr>
      <w:tab/>
    </w:r>
    <w:r w:rsidR="005920BA">
      <w:rPr>
        <w:rStyle w:val="Italic"/>
      </w:rPr>
      <w:tab/>
    </w:r>
    <w:r w:rsidR="005920BA" w:rsidRPr="003622E5">
      <w:rPr>
        <w:rStyle w:val="Italic"/>
      </w:rPr>
      <w:tab/>
    </w:r>
    <w:r w:rsidR="005920BA" w:rsidRPr="003622E5">
      <w:rPr>
        <w:rStyle w:val="Italic"/>
      </w:rPr>
      <w:tab/>
    </w:r>
    <w:r w:rsidR="005920BA">
      <w:rPr>
        <w:rStyle w:val="Italic"/>
      </w:rPr>
      <w:tab/>
    </w:r>
    <w:r w:rsidR="005920BA">
      <w:rPr>
        <w:rStyle w:val="Italic"/>
      </w:rPr>
      <w:tab/>
    </w:r>
    <w:r w:rsidRPr="00603FED">
      <w:rPr>
        <w:rStyle w:val="Italic"/>
      </w:rPr>
      <w:t>D1916089</w:t>
    </w:r>
    <w:r w:rsidR="005920BA" w:rsidRPr="00AA2A61" w:rsidDel="00AA2A61">
      <w:rPr>
        <w:rStyle w:val="Italic"/>
      </w:rPr>
      <w:t xml:space="preserve"> </w:t>
    </w:r>
    <w:r w:rsidR="005920BA" w:rsidRPr="003622E5">
      <w:rPr>
        <w:rStyle w:val="Italic"/>
      </w:rPr>
      <w:t xml:space="preserve">Version </w:t>
    </w:r>
    <w:r w:rsidR="005920BA">
      <w:rPr>
        <w:rStyle w:val="Italic"/>
      </w:rPr>
      <w:t>5</w:t>
    </w:r>
    <w:r w:rsidR="005920BA" w:rsidRPr="003622E5">
      <w:rPr>
        <w:rStyle w:val="Italic"/>
      </w:rPr>
      <w:t>.</w:t>
    </w:r>
    <w:r>
      <w:rPr>
        <w:rStyle w:val="Italic"/>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1CF2" w14:textId="3E91C951" w:rsidR="005920BA" w:rsidRPr="0063146B" w:rsidRDefault="005920BA" w:rsidP="0063146B">
    <w:pPr>
      <w:ind w:left="-567"/>
    </w:pPr>
    <w:r w:rsidRPr="00476E08">
      <w:rPr>
        <w:noProof/>
      </w:rPr>
      <w:drawing>
        <wp:inline distT="0" distB="0" distL="0" distR="0" wp14:anchorId="52B52E11" wp14:editId="0BB51520">
          <wp:extent cx="6480000" cy="2552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letterhead-footer-PSD.JPG"/>
                  <pic:cNvPicPr/>
                </pic:nvPicPr>
                <pic:blipFill>
                  <a:blip r:embed="rId1">
                    <a:extLst>
                      <a:ext uri="{28A0092B-C50C-407E-A947-70E740481C1C}">
                        <a14:useLocalDpi xmlns:a14="http://schemas.microsoft.com/office/drawing/2010/main" val="0"/>
                      </a:ext>
                    </a:extLst>
                  </a:blip>
                  <a:stretch>
                    <a:fillRect/>
                  </a:stretch>
                </pic:blipFill>
                <pic:spPr>
                  <a:xfrm>
                    <a:off x="0" y="0"/>
                    <a:ext cx="6480000" cy="2552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4DFE" w14:textId="77777777" w:rsidR="005920BA" w:rsidRPr="00E272B0" w:rsidRDefault="005920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5183" w14:textId="3B76DC78" w:rsidR="005920BA" w:rsidRPr="00E272B0" w:rsidRDefault="00A023C0" w:rsidP="005920BA">
    <w:pPr>
      <w:pStyle w:val="Footer"/>
    </w:pPr>
    <w:r w:rsidRPr="00BA2D5B">
      <w:rPr>
        <w:noProof/>
      </w:rPr>
      <w:drawing>
        <wp:anchor distT="0" distB="0" distL="114300" distR="114300" simplePos="0" relativeHeight="251667456" behindDoc="0" locked="0" layoutInCell="1" allowOverlap="1" wp14:anchorId="59F4A914" wp14:editId="2500DFE8">
          <wp:simplePos x="0" y="0"/>
          <wp:positionH relativeFrom="page">
            <wp:align>right</wp:align>
          </wp:positionH>
          <wp:positionV relativeFrom="paragraph">
            <wp:posOffset>-2655736</wp:posOffset>
          </wp:positionV>
          <wp:extent cx="7561015" cy="3049079"/>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ial audit_CD footer_right align_July 2019.jpg"/>
                  <pic:cNvPicPr/>
                </pic:nvPicPr>
                <pic:blipFill>
                  <a:blip r:embed="rId1">
                    <a:extLst>
                      <a:ext uri="{28A0092B-C50C-407E-A947-70E740481C1C}">
                        <a14:useLocalDpi xmlns:a14="http://schemas.microsoft.com/office/drawing/2010/main" val="0"/>
                      </a:ext>
                    </a:extLst>
                  </a:blip>
                  <a:stretch>
                    <a:fillRect/>
                  </a:stretch>
                </pic:blipFill>
                <pic:spPr>
                  <a:xfrm>
                    <a:off x="0" y="0"/>
                    <a:ext cx="7561015" cy="3049079"/>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EF19" w14:textId="77777777" w:rsidR="005920BA" w:rsidRDefault="005920BA" w:rsidP="00C60F3E">
    <w:r>
      <w:t>XX/10/06</w:t>
    </w:r>
    <w:r>
      <w:tab/>
    </w:r>
    <w:r>
      <w:tab/>
      <w:t>Version 2.24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2D5E" w14:textId="77777777" w:rsidR="005920BA" w:rsidRPr="00E272B0" w:rsidRDefault="005920B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43284"/>
      <w:docPartObj>
        <w:docPartGallery w:val="Page Numbers (Bottom of Page)"/>
        <w:docPartUnique/>
      </w:docPartObj>
    </w:sdtPr>
    <w:sdtEndPr>
      <w:rPr>
        <w:noProof/>
      </w:rPr>
    </w:sdtEndPr>
    <w:sdtContent>
      <w:p w14:paraId="5384125C" w14:textId="77777777" w:rsidR="005920BA" w:rsidRPr="0049638B" w:rsidRDefault="005920BA">
        <w:pPr>
          <w:jc w:val="right"/>
          <w:rPr>
            <w:i/>
          </w:rPr>
        </w:pPr>
        <w:r w:rsidRPr="00CA5EEC">
          <w:rPr>
            <w:i/>
            <w:sz w:val="18"/>
          </w:rPr>
          <w:fldChar w:fldCharType="begin"/>
        </w:r>
        <w:r w:rsidRPr="00CA5EEC">
          <w:rPr>
            <w:i/>
            <w:sz w:val="18"/>
          </w:rPr>
          <w:instrText xml:space="preserve"> PAGE   \* MERGEFORMAT </w:instrText>
        </w:r>
        <w:r w:rsidRPr="00CA5EEC">
          <w:rPr>
            <w:i/>
            <w:sz w:val="18"/>
          </w:rPr>
          <w:fldChar w:fldCharType="separate"/>
        </w:r>
        <w:r>
          <w:rPr>
            <w:i/>
            <w:noProof/>
            <w:sz w:val="18"/>
          </w:rPr>
          <w:t>14</w:t>
        </w:r>
        <w:r w:rsidRPr="00CA5EEC">
          <w:rPr>
            <w:i/>
            <w:noProof/>
            <w:sz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CD0" w14:textId="77777777" w:rsidR="005920BA" w:rsidRPr="00301D9A" w:rsidRDefault="005920BA" w:rsidP="00D731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5EE7" w14:textId="77777777" w:rsidR="00B6415A" w:rsidRDefault="00B6415A" w:rsidP="00211AED">
      <w:r>
        <w:separator/>
      </w:r>
    </w:p>
  </w:footnote>
  <w:footnote w:type="continuationSeparator" w:id="0">
    <w:p w14:paraId="616ADB8F" w14:textId="77777777" w:rsidR="00B6415A" w:rsidRDefault="00B6415A" w:rsidP="00211AED">
      <w:r>
        <w:continuationSeparator/>
      </w:r>
    </w:p>
  </w:footnote>
  <w:footnote w:id="1">
    <w:p w14:paraId="5644D711" w14:textId="77777777" w:rsidR="005920BA" w:rsidRPr="00B421B6" w:rsidRDefault="005920BA" w:rsidP="00D11197">
      <w:pPr>
        <w:pStyle w:val="FootnoteText"/>
        <w:pBdr>
          <w:top w:val="single" w:sz="4" w:space="1" w:color="auto"/>
          <w:left w:val="single" w:sz="4" w:space="4" w:color="auto"/>
          <w:right w:val="single" w:sz="4" w:space="4" w:color="auto"/>
        </w:pBdr>
        <w:shd w:val="clear" w:color="auto" w:fill="D9D9D9" w:themeFill="background1" w:themeFillShade="D9"/>
        <w:rPr>
          <w:b/>
        </w:rPr>
      </w:pPr>
      <w:r w:rsidRPr="00B421B6">
        <w:rPr>
          <w:rStyle w:val="FootnoteReference"/>
          <w:b/>
        </w:rPr>
        <w:footnoteRef/>
      </w:r>
      <w:r w:rsidRPr="00B421B6">
        <w:rPr>
          <w:b/>
        </w:rPr>
        <w:t xml:space="preserve"> ‘Final version’ of the other information (Annual Report) is that approved by those charged with governance (paragraphs 13(b) and A15</w:t>
      </w:r>
      <w:r>
        <w:rPr>
          <w:b/>
        </w:rPr>
        <w:t xml:space="preserve"> of </w:t>
      </w:r>
      <w:r w:rsidRPr="00B421B6">
        <w:rPr>
          <w:b/>
        </w:rPr>
        <w:t>ASA 720).</w:t>
      </w:r>
    </w:p>
  </w:footnote>
  <w:footnote w:id="2">
    <w:p w14:paraId="29FB8BCE" w14:textId="77777777" w:rsidR="005920BA" w:rsidRDefault="005920BA" w:rsidP="00D11197">
      <w:pPr>
        <w:pStyle w:val="FootnoteText"/>
        <w:pBdr>
          <w:left w:val="single" w:sz="4" w:space="4" w:color="auto"/>
          <w:bottom w:val="single" w:sz="4" w:space="1" w:color="auto"/>
          <w:right w:val="single" w:sz="4" w:space="4" w:color="auto"/>
        </w:pBdr>
        <w:shd w:val="clear" w:color="auto" w:fill="D9D9D9" w:themeFill="background1" w:themeFillShade="D9"/>
      </w:pPr>
      <w:r w:rsidRPr="00B421B6">
        <w:rPr>
          <w:rStyle w:val="FootnoteReference"/>
          <w:b/>
        </w:rPr>
        <w:footnoteRef/>
      </w:r>
      <w:r w:rsidRPr="00B421B6">
        <w:rPr>
          <w:b/>
        </w:rPr>
        <w:t xml:space="preserve"> Include this wording if those charged with governance will be asked to provide a representation letter. Refer to the </w:t>
      </w:r>
      <w:hyperlink r:id="rId1" w:history="1">
        <w:r w:rsidRPr="00B421B6">
          <w:rPr>
            <w:rStyle w:val="Hyperlink"/>
          </w:rPr>
          <w:t>Representation Letter</w:t>
        </w:r>
      </w:hyperlink>
      <w:r w:rsidRPr="00B421B6">
        <w:rPr>
          <w:b/>
        </w:rPr>
        <w:t xml:space="preserve"> template for details on when these representations are required.</w:t>
      </w:r>
    </w:p>
  </w:footnote>
  <w:footnote w:id="3">
    <w:p w14:paraId="322F3581" w14:textId="77777777" w:rsidR="005920BA" w:rsidRPr="0051486C" w:rsidRDefault="005920BA" w:rsidP="00D11197">
      <w:pPr>
        <w:pStyle w:val="FootnoteText"/>
        <w:pBdr>
          <w:top w:val="single" w:sz="4" w:space="1" w:color="auto"/>
          <w:left w:val="single" w:sz="4" w:space="4" w:color="auto"/>
          <w:right w:val="single" w:sz="4" w:space="4" w:color="auto"/>
        </w:pBdr>
        <w:shd w:val="clear" w:color="auto" w:fill="D9D9D9" w:themeFill="background1" w:themeFillShade="D9"/>
        <w:rPr>
          <w:b/>
        </w:rPr>
      </w:pPr>
      <w:r w:rsidRPr="0023511A">
        <w:rPr>
          <w:rStyle w:val="FootnoteReference"/>
          <w:b/>
        </w:rPr>
        <w:footnoteRef/>
      </w:r>
      <w:r w:rsidRPr="0051486C">
        <w:rPr>
          <w:b/>
        </w:rPr>
        <w:t xml:space="preserve"> Delete this heading if no other engagements have been included above.</w:t>
      </w:r>
    </w:p>
  </w:footnote>
  <w:footnote w:id="4">
    <w:p w14:paraId="58245D45" w14:textId="77777777" w:rsidR="005920BA" w:rsidRDefault="005920BA" w:rsidP="00D11197">
      <w:pPr>
        <w:pStyle w:val="FootnoteText"/>
        <w:pBdr>
          <w:left w:val="single" w:sz="4" w:space="4" w:color="auto"/>
          <w:bottom w:val="single" w:sz="4" w:space="1" w:color="auto"/>
          <w:right w:val="single" w:sz="4" w:space="4" w:color="auto"/>
        </w:pBdr>
        <w:shd w:val="clear" w:color="auto" w:fill="D9D9D9" w:themeFill="background1" w:themeFillShade="D9"/>
      </w:pPr>
      <w:r w:rsidRPr="0051486C">
        <w:rPr>
          <w:rStyle w:val="FootnoteReference"/>
          <w:b/>
        </w:rPr>
        <w:footnoteRef/>
      </w:r>
      <w:r w:rsidRPr="0051486C">
        <w:rPr>
          <w:b/>
        </w:rPr>
        <w:t xml:space="preserve"> Delete this sentence if specific engagements have been included in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5958" w14:textId="528E307B" w:rsidR="005920BA" w:rsidRPr="0063146B" w:rsidRDefault="005920BA" w:rsidP="005920BA">
    <w:pPr>
      <w:jc w:val="right"/>
    </w:pPr>
    <w:r>
      <w:rPr>
        <w:noProof/>
      </w:rPr>
      <w:drawing>
        <wp:inline distT="0" distB="0" distL="0" distR="0" wp14:anchorId="24A82F8C" wp14:editId="6334DFFB">
          <wp:extent cx="802151" cy="122040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Audit Office NSW (Stacked) CMYK.JPG"/>
                  <pic:cNvPicPr/>
                </pic:nvPicPr>
                <pic:blipFill>
                  <a:blip r:embed="rId1">
                    <a:extLst>
                      <a:ext uri="{28A0092B-C50C-407E-A947-70E740481C1C}">
                        <a14:useLocalDpi xmlns:a14="http://schemas.microsoft.com/office/drawing/2010/main" val="0"/>
                      </a:ext>
                    </a:extLst>
                  </a:blip>
                  <a:stretch>
                    <a:fillRect/>
                  </a:stretch>
                </pic:blipFill>
                <pic:spPr>
                  <a:xfrm>
                    <a:off x="0" y="0"/>
                    <a:ext cx="802151" cy="1220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76AD" w14:textId="5AE52242" w:rsidR="005920BA" w:rsidRPr="0063146B" w:rsidRDefault="005920BA" w:rsidP="0063146B">
    <w:r>
      <w:rPr>
        <w:noProof/>
      </w:rPr>
      <w:drawing>
        <wp:inline distT="0" distB="0" distL="0" distR="0" wp14:anchorId="65AF04E6" wp14:editId="065BD296">
          <wp:extent cx="802151" cy="122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Audit Office NSW (Stacked) CMYK.JPG"/>
                  <pic:cNvPicPr/>
                </pic:nvPicPr>
                <pic:blipFill>
                  <a:blip r:embed="rId1">
                    <a:extLst>
                      <a:ext uri="{28A0092B-C50C-407E-A947-70E740481C1C}">
                        <a14:useLocalDpi xmlns:a14="http://schemas.microsoft.com/office/drawing/2010/main" val="0"/>
                      </a:ext>
                    </a:extLst>
                  </a:blip>
                  <a:stretch>
                    <a:fillRect/>
                  </a:stretch>
                </pic:blipFill>
                <pic:spPr>
                  <a:xfrm>
                    <a:off x="0" y="0"/>
                    <a:ext cx="802151" cy="1220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2061" w14:textId="77777777" w:rsidR="005920BA" w:rsidRDefault="005920BA" w:rsidP="00C60F3E"/>
  <w:p w14:paraId="66492C70" w14:textId="77777777" w:rsidR="005920BA" w:rsidRDefault="005920BA" w:rsidP="00C60F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91EB" w14:textId="77777777" w:rsidR="005920BA" w:rsidRPr="003B51E0" w:rsidRDefault="005920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3A75" w14:textId="77777777" w:rsidR="005920BA" w:rsidRPr="00526891" w:rsidRDefault="005920BA" w:rsidP="00AF4EBB">
    <w:pPr>
      <w:rPr>
        <w:rFonts w:cs="Arial"/>
        <w:b/>
        <w:noProof/>
        <w:color w:val="808080" w:themeColor="background1" w:themeShade="80"/>
        <w:lang w:eastAsia="en-AU"/>
      </w:rPr>
    </w:pPr>
    <w:r>
      <w:rPr>
        <w:noProof/>
      </w:rPr>
      <w:drawing>
        <wp:anchor distT="0" distB="0" distL="114300" distR="114300" simplePos="0" relativeHeight="251664384" behindDoc="0" locked="0" layoutInCell="1" allowOverlap="1" wp14:anchorId="70DD5807" wp14:editId="7686EBDE">
          <wp:simplePos x="0" y="0"/>
          <wp:positionH relativeFrom="column">
            <wp:posOffset>3959056</wp:posOffset>
          </wp:positionH>
          <wp:positionV relativeFrom="paragraph">
            <wp:posOffset>-72390</wp:posOffset>
          </wp:positionV>
          <wp:extent cx="1799590" cy="3200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udit Office NSW (Horizontal) 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799590" cy="320040"/>
                  </a:xfrm>
                  <a:prstGeom prst="rect">
                    <a:avLst/>
                  </a:prstGeom>
                </pic:spPr>
              </pic:pic>
            </a:graphicData>
          </a:graphic>
        </wp:anchor>
      </w:drawing>
    </w:r>
  </w:p>
  <w:p w14:paraId="1EC67CBD" w14:textId="77777777" w:rsidR="005920BA" w:rsidRPr="00657864" w:rsidRDefault="005920BA" w:rsidP="00AF4EBB">
    <w:pPr>
      <w:rPr>
        <w:rFonts w:cs="Arial"/>
        <w:color w:val="808080" w:themeColor="background1" w:themeShade="80"/>
        <w:sz w:val="14"/>
        <w:szCs w:val="14"/>
      </w:rPr>
    </w:pPr>
    <w:r w:rsidRPr="00657864">
      <w:rPr>
        <w:rFonts w:cs="Arial"/>
        <w:b/>
        <w:noProof/>
        <w:color w:val="808080" w:themeColor="background1" w:themeShade="80"/>
        <w:sz w:val="14"/>
        <w:szCs w:val="14"/>
        <w:lang w:eastAsia="en-AU"/>
      </w:rPr>
      <w:t>Our insights inform and challenge government to improve outcomes for citizens</w:t>
    </w:r>
  </w:p>
  <w:p w14:paraId="3FAC1728" w14:textId="77777777" w:rsidR="005920BA" w:rsidRDefault="005920BA" w:rsidP="00AF4EBB">
    <w:r w:rsidRPr="00526891">
      <w:rPr>
        <w:noProof/>
        <w:lang w:eastAsia="en-AU"/>
      </w:rPr>
      <mc:AlternateContent>
        <mc:Choice Requires="wps">
          <w:drawing>
            <wp:anchor distT="0" distB="0" distL="114300" distR="114300" simplePos="0" relativeHeight="251665408" behindDoc="0" locked="0" layoutInCell="1" allowOverlap="1" wp14:anchorId="31139012" wp14:editId="568AD615">
              <wp:simplePos x="0" y="0"/>
              <wp:positionH relativeFrom="column">
                <wp:posOffset>2095</wp:posOffset>
              </wp:positionH>
              <wp:positionV relativeFrom="paragraph">
                <wp:posOffset>90162</wp:posOffset>
              </wp:positionV>
              <wp:extent cx="5760000" cy="44866"/>
              <wp:effectExtent l="0" t="0" r="12700" b="12700"/>
              <wp:wrapNone/>
              <wp:docPr id="2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4866"/>
                      </a:xfrm>
                      <a:prstGeom prst="roundRect">
                        <a:avLst>
                          <a:gd name="adj" fmla="val 16667"/>
                        </a:avLst>
                      </a:prstGeom>
                      <a:solidFill>
                        <a:srgbClr val="D64B46"/>
                      </a:solidFill>
                      <a:ln w="9525">
                        <a:solidFill>
                          <a:srgbClr val="D64B46"/>
                        </a:solidFill>
                        <a:round/>
                        <a:headEnd/>
                        <a:tailEnd/>
                      </a:ln>
                    </wps:spPr>
                    <wps:bodyPr rot="0" vert="horz" wrap="square" lIns="91440" tIns="45720" rIns="91440" bIns="45720" anchor="t" anchorCtr="0" upright="1">
                      <a:noAutofit/>
                    </wps:bodyPr>
                  </wps:wsp>
                </a:graphicData>
              </a:graphic>
            </wp:anchor>
          </w:drawing>
        </mc:Choice>
        <mc:Fallback>
          <w:pict>
            <v:roundrect w14:anchorId="239A3A17" id="Rounded Rectangle 12" o:spid="_x0000_s1026" style="position:absolute;margin-left:.15pt;margin-top:7.1pt;width:453.5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" fillcolor="#d64b46" strokecolor="#d64b46"/>
          </w:pict>
        </mc:Fallback>
      </mc:AlternateContent>
    </w:r>
  </w:p>
  <w:p w14:paraId="14B78AD5" w14:textId="08932553" w:rsidR="005920BA" w:rsidRPr="0063146B" w:rsidRDefault="005920BA" w:rsidP="005920B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1602" w14:textId="77777777" w:rsidR="005920BA" w:rsidRPr="000C256F" w:rsidRDefault="005920BA" w:rsidP="00D731C2">
    <w:pPr>
      <w:tabs>
        <w:tab w:val="center" w:pos="4536"/>
        <w:tab w:val="left" w:pos="5715"/>
      </w:tabs>
      <w:rPr>
        <w:sz w:val="2"/>
        <w:szCs w:val="2"/>
      </w:rPr>
    </w:pPr>
  </w:p>
  <w:p w14:paraId="181C23D2" w14:textId="77777777" w:rsidR="005920BA" w:rsidRPr="00C96297" w:rsidRDefault="005920BA" w:rsidP="00D731C2">
    <w:pP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D3C5C76"/>
    <w:lvl w:ilvl="0">
      <w:start w:val="1"/>
      <w:numFmt w:val="bullet"/>
      <w:pStyle w:val="ListBullet2"/>
      <w:lvlText w:val=""/>
      <w:lvlJc w:val="left"/>
      <w:pPr>
        <w:ind w:left="643" w:hanging="36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1"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2"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3"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5" w15:restartNumberingAfterBreak="0">
    <w:nsid w:val="0AF76970"/>
    <w:multiLevelType w:val="multilevel"/>
    <w:tmpl w:val="51A24EBA"/>
    <w:lvl w:ilvl="0">
      <w:start w:val="1"/>
      <w:numFmt w:val="decimal"/>
      <w:lvlText w:val="%1."/>
      <w:lvlJc w:val="left"/>
      <w:pPr>
        <w:ind w:left="357" w:hanging="357"/>
      </w:pPr>
      <w:rPr>
        <w:rFonts w:ascii="Arial" w:hAnsi="Arial"/>
        <w:sz w:val="20"/>
      </w:rPr>
    </w:lvl>
    <w:lvl w:ilvl="1">
      <w:start w:val="1"/>
      <w:numFmt w:val="lowerLetter"/>
      <w:lvlText w:val="%2)"/>
      <w:lvlJc w:val="left"/>
      <w:pPr>
        <w:ind w:left="924" w:hanging="567"/>
      </w:pPr>
      <w:rPr>
        <w:rFonts w:hint="default"/>
      </w:rPr>
    </w:lvl>
    <w:lvl w:ilvl="2">
      <w:start w:val="1"/>
      <w:numFmt w:val="none"/>
      <w:lvlRestart w:val="0"/>
      <w:lvlText w:val=""/>
      <w:lvlJc w:val="right"/>
      <w:pPr>
        <w:ind w:left="924" w:hanging="567"/>
      </w:pPr>
      <w:rPr>
        <w:rFonts w:hint="default"/>
      </w:rPr>
    </w:lvl>
    <w:lvl w:ilvl="3">
      <w:start w:val="1"/>
      <w:numFmt w:val="none"/>
      <w:lvlRestart w:val="0"/>
      <w:lvlText w:val=""/>
      <w:lvlJc w:val="left"/>
      <w:pPr>
        <w:ind w:left="924" w:hanging="567"/>
      </w:pPr>
      <w:rPr>
        <w:rFonts w:hint="default"/>
      </w:rPr>
    </w:lvl>
    <w:lvl w:ilvl="4">
      <w:start w:val="1"/>
      <w:numFmt w:val="none"/>
      <w:lvlRestart w:val="0"/>
      <w:lvlText w:val=""/>
      <w:lvlJc w:val="left"/>
      <w:pPr>
        <w:ind w:left="924" w:hanging="567"/>
      </w:pPr>
      <w:rPr>
        <w:rFonts w:hint="default"/>
      </w:rPr>
    </w:lvl>
    <w:lvl w:ilvl="5">
      <w:start w:val="1"/>
      <w:numFmt w:val="none"/>
      <w:lvlRestart w:val="0"/>
      <w:lvlText w:val=""/>
      <w:lvlJc w:val="right"/>
      <w:pPr>
        <w:ind w:left="924" w:hanging="567"/>
      </w:pPr>
      <w:rPr>
        <w:rFonts w:hint="default"/>
      </w:rPr>
    </w:lvl>
    <w:lvl w:ilvl="6">
      <w:start w:val="1"/>
      <w:numFmt w:val="none"/>
      <w:lvlRestart w:val="0"/>
      <w:lvlText w:val=""/>
      <w:lvlJc w:val="left"/>
      <w:pPr>
        <w:ind w:left="924" w:hanging="567"/>
      </w:pPr>
      <w:rPr>
        <w:rFonts w:hint="default"/>
      </w:rPr>
    </w:lvl>
    <w:lvl w:ilvl="7">
      <w:start w:val="1"/>
      <w:numFmt w:val="none"/>
      <w:lvlRestart w:val="0"/>
      <w:lvlText w:val=""/>
      <w:lvlJc w:val="left"/>
      <w:pPr>
        <w:ind w:left="924" w:hanging="567"/>
      </w:pPr>
      <w:rPr>
        <w:rFonts w:hint="default"/>
      </w:rPr>
    </w:lvl>
    <w:lvl w:ilvl="8">
      <w:start w:val="1"/>
      <w:numFmt w:val="none"/>
      <w:lvlRestart w:val="0"/>
      <w:lvlText w:val=""/>
      <w:lvlJc w:val="right"/>
      <w:pPr>
        <w:ind w:left="924" w:hanging="567"/>
      </w:pPr>
      <w:rPr>
        <w:rFonts w:hint="default"/>
      </w:rPr>
    </w:lvl>
  </w:abstractNum>
  <w:abstractNum w:abstractNumId="6"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8" w15:restartNumberingAfterBreak="0">
    <w:nsid w:val="113C6C6E"/>
    <w:multiLevelType w:val="multilevel"/>
    <w:tmpl w:val="231A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12" w15:restartNumberingAfterBreak="0">
    <w:nsid w:val="21BC7217"/>
    <w:multiLevelType w:val="hybridMultilevel"/>
    <w:tmpl w:val="5ED0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4"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6"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7"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9"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20" w15:restartNumberingAfterBreak="0">
    <w:nsid w:val="4D9B7950"/>
    <w:multiLevelType w:val="hybridMultilevel"/>
    <w:tmpl w:val="9EC4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23"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1F249BF"/>
    <w:multiLevelType w:val="hybridMultilevel"/>
    <w:tmpl w:val="ED9C3C4A"/>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5"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6"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7"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7"/>
  </w:num>
  <w:num w:numId="3">
    <w:abstractNumId w:val="13"/>
  </w:num>
  <w:num w:numId="4">
    <w:abstractNumId w:val="23"/>
  </w:num>
  <w:num w:numId="5">
    <w:abstractNumId w:val="25"/>
  </w:num>
  <w:num w:numId="6">
    <w:abstractNumId w:val="1"/>
  </w:num>
  <w:num w:numId="7">
    <w:abstractNumId w:val="10"/>
  </w:num>
  <w:num w:numId="8">
    <w:abstractNumId w:val="4"/>
  </w:num>
  <w:num w:numId="9">
    <w:abstractNumId w:val="21"/>
  </w:num>
  <w:num w:numId="10">
    <w:abstractNumId w:val="26"/>
  </w:num>
  <w:num w:numId="11">
    <w:abstractNumId w:val="11"/>
  </w:num>
  <w:num w:numId="12">
    <w:abstractNumId w:val="9"/>
  </w:num>
  <w:num w:numId="13">
    <w:abstractNumId w:val="27"/>
  </w:num>
  <w:num w:numId="14">
    <w:abstractNumId w:val="17"/>
  </w:num>
  <w:num w:numId="15">
    <w:abstractNumId w:val="15"/>
  </w:num>
  <w:num w:numId="16">
    <w:abstractNumId w:val="3"/>
  </w:num>
  <w:num w:numId="17">
    <w:abstractNumId w:val="2"/>
  </w:num>
  <w:num w:numId="18">
    <w:abstractNumId w:val="19"/>
  </w:num>
  <w:num w:numId="19">
    <w:abstractNumId w:val="1"/>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4"/>
  </w:num>
  <w:num w:numId="21">
    <w:abstractNumId w:val="6"/>
  </w:num>
  <w:num w:numId="22">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1"/>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1"/>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1"/>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1"/>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1"/>
  </w:num>
  <w:num w:numId="44">
    <w:abstractNumId w:val="22"/>
  </w:num>
  <w:num w:numId="45">
    <w:abstractNumId w:val="16"/>
  </w:num>
  <w:num w:numId="46">
    <w:abstractNumId w:val="18"/>
  </w:num>
  <w:num w:numId="47">
    <w:abstractNumId w:val="0"/>
  </w:num>
  <w:num w:numId="48">
    <w:abstractNumId w:val="1"/>
    <w:lvlOverride w:ilvl="1">
      <w:lvl w:ilvl="1">
        <w:start w:val="1"/>
        <w:numFmt w:val="decimal"/>
        <w:pStyle w:val="Heading2-Numbered"/>
        <w:lvlText w:val="%1.%2"/>
        <w:lvlJc w:val="left"/>
        <w:pPr>
          <w:ind w:left="567" w:hanging="567"/>
        </w:pPr>
        <w:rPr>
          <w:rFonts w:hint="default"/>
        </w:rPr>
      </w:lvl>
    </w:lvlOverride>
  </w:num>
  <w:num w:numId="49">
    <w:abstractNumId w:val="8"/>
  </w:num>
  <w:num w:numId="50">
    <w:abstractNumId w:val="5"/>
  </w:num>
  <w:num w:numId="51">
    <w:abstractNumId w:val="12"/>
  </w:num>
  <w:num w:numId="52">
    <w:abstractNumId w:val="20"/>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23925"/>
    <w:rsid w:val="000300FF"/>
    <w:rsid w:val="00037046"/>
    <w:rsid w:val="00051E6A"/>
    <w:rsid w:val="00066594"/>
    <w:rsid w:val="00073888"/>
    <w:rsid w:val="00083510"/>
    <w:rsid w:val="000A096C"/>
    <w:rsid w:val="000A4278"/>
    <w:rsid w:val="000B1DB6"/>
    <w:rsid w:val="000D7000"/>
    <w:rsid w:val="000E130A"/>
    <w:rsid w:val="000E4ACD"/>
    <w:rsid w:val="000F44FF"/>
    <w:rsid w:val="001049A9"/>
    <w:rsid w:val="00114898"/>
    <w:rsid w:val="00117B6C"/>
    <w:rsid w:val="001251B0"/>
    <w:rsid w:val="00146B05"/>
    <w:rsid w:val="001952BC"/>
    <w:rsid w:val="001A2D51"/>
    <w:rsid w:val="001A5588"/>
    <w:rsid w:val="001B09EA"/>
    <w:rsid w:val="001B451A"/>
    <w:rsid w:val="001B7377"/>
    <w:rsid w:val="001C7913"/>
    <w:rsid w:val="001D309B"/>
    <w:rsid w:val="001E160A"/>
    <w:rsid w:val="001F3BE6"/>
    <w:rsid w:val="001F412A"/>
    <w:rsid w:val="001F4CDB"/>
    <w:rsid w:val="001F6005"/>
    <w:rsid w:val="00203A9D"/>
    <w:rsid w:val="00211AED"/>
    <w:rsid w:val="00212055"/>
    <w:rsid w:val="00222A16"/>
    <w:rsid w:val="0023511A"/>
    <w:rsid w:val="00237C67"/>
    <w:rsid w:val="002515BB"/>
    <w:rsid w:val="00275064"/>
    <w:rsid w:val="002C6360"/>
    <w:rsid w:val="002D4F15"/>
    <w:rsid w:val="002D68BD"/>
    <w:rsid w:val="003025A0"/>
    <w:rsid w:val="003358CE"/>
    <w:rsid w:val="00355883"/>
    <w:rsid w:val="0036712A"/>
    <w:rsid w:val="0039166B"/>
    <w:rsid w:val="003A7CBA"/>
    <w:rsid w:val="003E4D0D"/>
    <w:rsid w:val="003E6538"/>
    <w:rsid w:val="003E7E59"/>
    <w:rsid w:val="003E7F71"/>
    <w:rsid w:val="003F1EB5"/>
    <w:rsid w:val="00403A88"/>
    <w:rsid w:val="00415F1E"/>
    <w:rsid w:val="00431C59"/>
    <w:rsid w:val="00434427"/>
    <w:rsid w:val="00446D4A"/>
    <w:rsid w:val="004513E1"/>
    <w:rsid w:val="00474CA1"/>
    <w:rsid w:val="004764DB"/>
    <w:rsid w:val="00476F43"/>
    <w:rsid w:val="0048618C"/>
    <w:rsid w:val="004A00C8"/>
    <w:rsid w:val="004A24F1"/>
    <w:rsid w:val="004A2599"/>
    <w:rsid w:val="004A679C"/>
    <w:rsid w:val="004B6E23"/>
    <w:rsid w:val="004C4D40"/>
    <w:rsid w:val="004C7C0D"/>
    <w:rsid w:val="00523ACD"/>
    <w:rsid w:val="00525344"/>
    <w:rsid w:val="0053166B"/>
    <w:rsid w:val="00531F97"/>
    <w:rsid w:val="005828A9"/>
    <w:rsid w:val="005920BA"/>
    <w:rsid w:val="005A260E"/>
    <w:rsid w:val="005C29A8"/>
    <w:rsid w:val="005C454E"/>
    <w:rsid w:val="005D26D4"/>
    <w:rsid w:val="00601580"/>
    <w:rsid w:val="00602F62"/>
    <w:rsid w:val="00603FED"/>
    <w:rsid w:val="0060753C"/>
    <w:rsid w:val="00610172"/>
    <w:rsid w:val="00624537"/>
    <w:rsid w:val="0063146B"/>
    <w:rsid w:val="006436A5"/>
    <w:rsid w:val="006719C5"/>
    <w:rsid w:val="006729A7"/>
    <w:rsid w:val="00673CBB"/>
    <w:rsid w:val="006A42D1"/>
    <w:rsid w:val="006B430E"/>
    <w:rsid w:val="006C4862"/>
    <w:rsid w:val="006D6438"/>
    <w:rsid w:val="006E16A2"/>
    <w:rsid w:val="006E188C"/>
    <w:rsid w:val="00700AD3"/>
    <w:rsid w:val="00705541"/>
    <w:rsid w:val="00730B36"/>
    <w:rsid w:val="00772E6B"/>
    <w:rsid w:val="007758D8"/>
    <w:rsid w:val="0078314C"/>
    <w:rsid w:val="0078471E"/>
    <w:rsid w:val="0078644F"/>
    <w:rsid w:val="007948B2"/>
    <w:rsid w:val="007A3427"/>
    <w:rsid w:val="007B72D0"/>
    <w:rsid w:val="007C3D79"/>
    <w:rsid w:val="007D04E2"/>
    <w:rsid w:val="00800142"/>
    <w:rsid w:val="00837CC9"/>
    <w:rsid w:val="00840936"/>
    <w:rsid w:val="008602F0"/>
    <w:rsid w:val="00871CA2"/>
    <w:rsid w:val="00876635"/>
    <w:rsid w:val="00886FA8"/>
    <w:rsid w:val="008A699C"/>
    <w:rsid w:val="008A6F75"/>
    <w:rsid w:val="008A7F55"/>
    <w:rsid w:val="008C34A3"/>
    <w:rsid w:val="008D1C2B"/>
    <w:rsid w:val="008F4211"/>
    <w:rsid w:val="00927868"/>
    <w:rsid w:val="00952BF9"/>
    <w:rsid w:val="00954CF4"/>
    <w:rsid w:val="00970EDD"/>
    <w:rsid w:val="00990D4C"/>
    <w:rsid w:val="009B08F0"/>
    <w:rsid w:val="009E2519"/>
    <w:rsid w:val="00A023C0"/>
    <w:rsid w:val="00A0285A"/>
    <w:rsid w:val="00A11508"/>
    <w:rsid w:val="00A15430"/>
    <w:rsid w:val="00A27BAF"/>
    <w:rsid w:val="00A30936"/>
    <w:rsid w:val="00A63F7D"/>
    <w:rsid w:val="00A9213D"/>
    <w:rsid w:val="00A92782"/>
    <w:rsid w:val="00AA11BC"/>
    <w:rsid w:val="00AC6D4C"/>
    <w:rsid w:val="00AC7B7B"/>
    <w:rsid w:val="00AE086E"/>
    <w:rsid w:val="00AF121C"/>
    <w:rsid w:val="00AF4EBB"/>
    <w:rsid w:val="00B02090"/>
    <w:rsid w:val="00B076D6"/>
    <w:rsid w:val="00B10E23"/>
    <w:rsid w:val="00B22D18"/>
    <w:rsid w:val="00B422A0"/>
    <w:rsid w:val="00B43250"/>
    <w:rsid w:val="00B566E7"/>
    <w:rsid w:val="00B578C1"/>
    <w:rsid w:val="00B61FF7"/>
    <w:rsid w:val="00B6401A"/>
    <w:rsid w:val="00B6415A"/>
    <w:rsid w:val="00BC3514"/>
    <w:rsid w:val="00BD058E"/>
    <w:rsid w:val="00BD32A3"/>
    <w:rsid w:val="00BE29BA"/>
    <w:rsid w:val="00BF168E"/>
    <w:rsid w:val="00BF4796"/>
    <w:rsid w:val="00C1383B"/>
    <w:rsid w:val="00C2262B"/>
    <w:rsid w:val="00C334BE"/>
    <w:rsid w:val="00C47DB6"/>
    <w:rsid w:val="00C531CE"/>
    <w:rsid w:val="00C60F3E"/>
    <w:rsid w:val="00C80B47"/>
    <w:rsid w:val="00C810D0"/>
    <w:rsid w:val="00CB28AB"/>
    <w:rsid w:val="00CC2AC1"/>
    <w:rsid w:val="00CD3EF4"/>
    <w:rsid w:val="00D11197"/>
    <w:rsid w:val="00D441D6"/>
    <w:rsid w:val="00D55A49"/>
    <w:rsid w:val="00D56625"/>
    <w:rsid w:val="00D61036"/>
    <w:rsid w:val="00D731C2"/>
    <w:rsid w:val="00D90E06"/>
    <w:rsid w:val="00DA50D2"/>
    <w:rsid w:val="00DB18E3"/>
    <w:rsid w:val="00DB2CFA"/>
    <w:rsid w:val="00DB6962"/>
    <w:rsid w:val="00DC052D"/>
    <w:rsid w:val="00DD3298"/>
    <w:rsid w:val="00E130A6"/>
    <w:rsid w:val="00E14170"/>
    <w:rsid w:val="00E14458"/>
    <w:rsid w:val="00E21E8F"/>
    <w:rsid w:val="00E35228"/>
    <w:rsid w:val="00E550A7"/>
    <w:rsid w:val="00E834CB"/>
    <w:rsid w:val="00E906F0"/>
    <w:rsid w:val="00E9196B"/>
    <w:rsid w:val="00E91E3A"/>
    <w:rsid w:val="00EB3846"/>
    <w:rsid w:val="00EE3BE1"/>
    <w:rsid w:val="00F11784"/>
    <w:rsid w:val="00F14837"/>
    <w:rsid w:val="00F1700D"/>
    <w:rsid w:val="00F35499"/>
    <w:rsid w:val="00F37F27"/>
    <w:rsid w:val="00F7334E"/>
    <w:rsid w:val="00F877DE"/>
    <w:rsid w:val="00F95062"/>
    <w:rsid w:val="00FA2B3A"/>
    <w:rsid w:val="00FB46E8"/>
    <w:rsid w:val="00FC018B"/>
    <w:rsid w:val="00FC16C6"/>
    <w:rsid w:val="00FE6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3852"/>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semiHidden="1" w:uiPriority="0" w:qFormat="1"/>
    <w:lsdException w:name="heading 2" w:locked="0"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0"/>
    <w:lsdException w:name="toc 3" w:locked="0" w:semiHidden="1" w:uiPriority="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uiPriority="0"/>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atentStyles>
  <w:style w:type="paragraph" w:default="1" w:styleId="Normal">
    <w:name w:val="Normal"/>
    <w:qFormat/>
    <w:rsid w:val="00A92782"/>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paragraph" w:styleId="Heading3">
    <w:name w:val="heading 3"/>
    <w:aliases w:val="Heading 3 - DELETE"/>
    <w:basedOn w:val="Normal"/>
    <w:next w:val="Normal"/>
    <w:link w:val="Heading3Char"/>
    <w:uiPriority w:val="9"/>
    <w:semiHidden/>
    <w:qFormat/>
    <w:locked/>
    <w:rsid w:val="00D11197"/>
    <w:pPr>
      <w:outlineLvl w:val="2"/>
    </w:pPr>
    <w:rPr>
      <w:rFonts w:eastAsiaTheme="majorEastAsia" w:cstheme="majorBidi"/>
      <w:b/>
      <w:bCs/>
      <w:lang w:bidi="en-US"/>
    </w:rPr>
  </w:style>
  <w:style w:type="paragraph" w:styleId="Heading4">
    <w:name w:val="heading 4"/>
    <w:aliases w:val="Heading 4 - DELETE"/>
    <w:basedOn w:val="Normal"/>
    <w:next w:val="Normal"/>
    <w:link w:val="Heading4Char"/>
    <w:uiPriority w:val="9"/>
    <w:semiHidden/>
    <w:qFormat/>
    <w:locked/>
    <w:rsid w:val="00D11197"/>
    <w:pPr>
      <w:outlineLvl w:val="3"/>
    </w:pPr>
    <w:rPr>
      <w:rFonts w:eastAsiaTheme="majorEastAsia" w:cstheme="majorBidi"/>
      <w:b/>
      <w:bCs/>
      <w:i/>
      <w:iCs/>
      <w:lang w:bidi="en-US"/>
    </w:rPr>
  </w:style>
  <w:style w:type="paragraph" w:styleId="Heading5">
    <w:name w:val="heading 5"/>
    <w:basedOn w:val="Normal"/>
    <w:next w:val="Normal"/>
    <w:link w:val="Heading5Char"/>
    <w:uiPriority w:val="9"/>
    <w:semiHidden/>
    <w:qFormat/>
    <w:locked/>
    <w:rsid w:val="00D11197"/>
    <w:pPr>
      <w:spacing w:before="20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locked/>
    <w:rsid w:val="00D111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locked/>
    <w:rsid w:val="00D1119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locked/>
    <w:rsid w:val="00D11197"/>
    <w:pPr>
      <w:outlineLvl w:val="7"/>
    </w:pPr>
    <w:rPr>
      <w:rFonts w:asciiTheme="majorHAnsi" w:eastAsiaTheme="majorEastAsia" w:hAnsiTheme="majorHAnsi" w:cstheme="majorBidi"/>
      <w:szCs w:val="20"/>
      <w:lang w:bidi="en-US"/>
    </w:rPr>
  </w:style>
  <w:style w:type="paragraph" w:styleId="Heading9">
    <w:name w:val="heading 9"/>
    <w:basedOn w:val="Normal"/>
    <w:next w:val="Normal"/>
    <w:link w:val="Heading9Char"/>
    <w:uiPriority w:val="9"/>
    <w:semiHidden/>
    <w:qFormat/>
    <w:locked/>
    <w:rsid w:val="00D11197"/>
    <w:pPr>
      <w:outlineLvl w:val="8"/>
    </w:pPr>
    <w:rPr>
      <w:rFonts w:asciiTheme="majorHAnsi" w:eastAsiaTheme="majorEastAsia" w:hAnsiTheme="majorHAnsi" w:cstheme="majorBidi"/>
      <w:i/>
      <w:iCs/>
      <w:spacing w:val="5"/>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211AED"/>
    <w:rPr>
      <w:b/>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0F44FF"/>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rsid w:val="00FE68AA"/>
    <w:pPr>
      <w:numPr>
        <w:ilvl w:val="6"/>
        <w:numId w:val="15"/>
      </w:numPr>
      <w:ind w:left="357" w:hanging="357"/>
    </w:pPr>
  </w:style>
  <w:style w:type="paragraph" w:styleId="TOC2">
    <w:name w:val="toc 2"/>
    <w:basedOn w:val="Normal"/>
    <w:next w:val="Normal"/>
    <w:autoRedefine/>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rsid w:val="006E188C"/>
    <w:pPr>
      <w:tabs>
        <w:tab w:val="right" w:pos="8505"/>
      </w:tabs>
      <w:spacing w:before="120" w:after="120" w:line="240" w:lineRule="atLeast"/>
      <w:ind w:left="567" w:right="851"/>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semiHidden/>
    <w:locked/>
    <w:rsid w:val="00F7334E"/>
    <w:pPr>
      <w:tabs>
        <w:tab w:val="center" w:pos="4513"/>
        <w:tab w:val="right" w:pos="9026"/>
      </w:tabs>
    </w:pPr>
  </w:style>
  <w:style w:type="character" w:customStyle="1" w:styleId="HeaderChar">
    <w:name w:val="Header Char"/>
    <w:basedOn w:val="DefaultParagraphFont"/>
    <w:link w:val="Header"/>
    <w:semiHidden/>
    <w:rsid w:val="00A92782"/>
    <w:rPr>
      <w:rFonts w:ascii="Arial" w:eastAsia="Calibri" w:hAnsi="Arial" w:cs="Times New Roman"/>
      <w:sz w:val="20"/>
    </w:rPr>
  </w:style>
  <w:style w:type="paragraph" w:styleId="Footer">
    <w:name w:val="footer"/>
    <w:basedOn w:val="Normal"/>
    <w:link w:val="FooterChar"/>
    <w:uiPriority w:val="99"/>
    <w:semiHidden/>
    <w:locked/>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locked/>
    <w:rsid w:val="00970EDD"/>
    <w:rPr>
      <w:sz w:val="16"/>
      <w:szCs w:val="16"/>
    </w:rPr>
  </w:style>
  <w:style w:type="paragraph" w:styleId="CommentText">
    <w:name w:val="annotation text"/>
    <w:basedOn w:val="Normal"/>
    <w:link w:val="CommentTextChar"/>
    <w:semiHidden/>
    <w:locked/>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locked/>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qFormat/>
    <w:lock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82"/>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locked/>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character" w:customStyle="1" w:styleId="Heading3Char">
    <w:name w:val="Heading 3 Char"/>
    <w:aliases w:val="Heading 3 - DELETE Char"/>
    <w:basedOn w:val="DefaultParagraphFont"/>
    <w:link w:val="Heading3"/>
    <w:uiPriority w:val="9"/>
    <w:semiHidden/>
    <w:rsid w:val="00D11197"/>
    <w:rPr>
      <w:rFonts w:ascii="Arial" w:eastAsiaTheme="majorEastAsia" w:hAnsi="Arial" w:cstheme="majorBidi"/>
      <w:b/>
      <w:bCs/>
      <w:sz w:val="20"/>
      <w:lang w:bidi="en-US"/>
    </w:rPr>
  </w:style>
  <w:style w:type="character" w:customStyle="1" w:styleId="Heading4Char">
    <w:name w:val="Heading 4 Char"/>
    <w:aliases w:val="Heading 4 - DELETE Char"/>
    <w:basedOn w:val="DefaultParagraphFont"/>
    <w:link w:val="Heading4"/>
    <w:uiPriority w:val="9"/>
    <w:semiHidden/>
    <w:rsid w:val="00D11197"/>
    <w:rPr>
      <w:rFonts w:ascii="Arial" w:eastAsiaTheme="majorEastAsia" w:hAnsi="Arial" w:cstheme="majorBidi"/>
      <w:b/>
      <w:bCs/>
      <w:i/>
      <w:iCs/>
      <w:sz w:val="20"/>
      <w:lang w:bidi="en-US"/>
    </w:rPr>
  </w:style>
  <w:style w:type="character" w:customStyle="1" w:styleId="Heading5Char">
    <w:name w:val="Heading 5 Char"/>
    <w:basedOn w:val="DefaultParagraphFont"/>
    <w:link w:val="Heading5"/>
    <w:uiPriority w:val="9"/>
    <w:semiHidden/>
    <w:rsid w:val="00D11197"/>
    <w:rPr>
      <w:rFonts w:asciiTheme="majorHAnsi" w:eastAsiaTheme="majorEastAsia" w:hAnsiTheme="majorHAnsi" w:cstheme="majorBidi"/>
      <w:b/>
      <w:bCs/>
      <w:color w:val="7F7F7F" w:themeColor="text1" w:themeTint="80"/>
      <w:sz w:val="20"/>
      <w:lang w:bidi="en-US"/>
    </w:rPr>
  </w:style>
  <w:style w:type="character" w:customStyle="1" w:styleId="Heading6Char">
    <w:name w:val="Heading 6 Char"/>
    <w:basedOn w:val="DefaultParagraphFont"/>
    <w:link w:val="Heading6"/>
    <w:uiPriority w:val="9"/>
    <w:semiHidden/>
    <w:rsid w:val="00D11197"/>
    <w:rPr>
      <w:rFonts w:asciiTheme="majorHAnsi" w:eastAsiaTheme="majorEastAsia" w:hAnsiTheme="majorHAnsi" w:cstheme="majorBidi"/>
      <w:b/>
      <w:bCs/>
      <w:i/>
      <w:iCs/>
      <w:color w:val="7F7F7F" w:themeColor="text1" w:themeTint="80"/>
      <w:sz w:val="20"/>
      <w:lang w:bidi="en-US"/>
    </w:rPr>
  </w:style>
  <w:style w:type="character" w:customStyle="1" w:styleId="Heading7Char">
    <w:name w:val="Heading 7 Char"/>
    <w:basedOn w:val="DefaultParagraphFont"/>
    <w:link w:val="Heading7"/>
    <w:uiPriority w:val="9"/>
    <w:semiHidden/>
    <w:rsid w:val="00D11197"/>
    <w:rPr>
      <w:rFonts w:asciiTheme="majorHAnsi" w:eastAsiaTheme="majorEastAsia" w:hAnsiTheme="majorHAnsi" w:cstheme="majorBidi"/>
      <w:i/>
      <w:iCs/>
      <w:sz w:val="20"/>
      <w:lang w:bidi="en-US"/>
    </w:rPr>
  </w:style>
  <w:style w:type="character" w:customStyle="1" w:styleId="Heading8Char">
    <w:name w:val="Heading 8 Char"/>
    <w:basedOn w:val="DefaultParagraphFont"/>
    <w:link w:val="Heading8"/>
    <w:uiPriority w:val="9"/>
    <w:semiHidden/>
    <w:rsid w:val="00D1119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D11197"/>
    <w:rPr>
      <w:rFonts w:asciiTheme="majorHAnsi" w:eastAsiaTheme="majorEastAsia" w:hAnsiTheme="majorHAnsi" w:cstheme="majorBidi"/>
      <w:i/>
      <w:iCs/>
      <w:spacing w:val="5"/>
      <w:sz w:val="20"/>
      <w:szCs w:val="20"/>
      <w:lang w:bidi="en-US"/>
    </w:rPr>
  </w:style>
  <w:style w:type="paragraph" w:styleId="ListBullet2">
    <w:name w:val="List Bullet 2"/>
    <w:basedOn w:val="Normal"/>
    <w:semiHidden/>
    <w:locked/>
    <w:rsid w:val="00D11197"/>
    <w:pPr>
      <w:numPr>
        <w:numId w:val="47"/>
      </w:numPr>
      <w:tabs>
        <w:tab w:val="num" w:pos="360"/>
        <w:tab w:val="left" w:pos="1134"/>
      </w:tabs>
      <w:ind w:left="0" w:firstLine="0"/>
      <w:contextualSpacing/>
    </w:pPr>
    <w:rPr>
      <w:rFonts w:ascii="Trebuchet MS" w:eastAsia="Times New Roman" w:hAnsi="Trebuchet MS"/>
      <w:szCs w:val="24"/>
      <w:lang w:bidi="en-US"/>
    </w:rPr>
  </w:style>
  <w:style w:type="paragraph" w:styleId="Title">
    <w:name w:val="Title"/>
    <w:basedOn w:val="Normal"/>
    <w:next w:val="Normal"/>
    <w:link w:val="TitleChar"/>
    <w:uiPriority w:val="10"/>
    <w:semiHidden/>
    <w:qFormat/>
    <w:locked/>
    <w:rsid w:val="00D111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semiHidden/>
    <w:rsid w:val="00D11197"/>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semiHidden/>
    <w:qFormat/>
    <w:locked/>
    <w:rsid w:val="00D11197"/>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semiHidden/>
    <w:rsid w:val="00D11197"/>
    <w:rPr>
      <w:rFonts w:asciiTheme="majorHAnsi" w:eastAsiaTheme="majorEastAsia" w:hAnsiTheme="majorHAnsi" w:cstheme="majorBidi"/>
      <w:i/>
      <w:iCs/>
      <w:spacing w:val="13"/>
      <w:sz w:val="24"/>
      <w:szCs w:val="24"/>
      <w:lang w:bidi="en-US"/>
    </w:rPr>
  </w:style>
  <w:style w:type="paragraph" w:styleId="NoSpacing">
    <w:name w:val="No Spacing"/>
    <w:basedOn w:val="Normal"/>
    <w:uiPriority w:val="1"/>
    <w:semiHidden/>
    <w:qFormat/>
    <w:locked/>
    <w:rsid w:val="00D11197"/>
    <w:rPr>
      <w:rFonts w:eastAsiaTheme="minorEastAsia" w:cstheme="minorBidi"/>
      <w:lang w:bidi="en-US"/>
    </w:rPr>
  </w:style>
  <w:style w:type="character" w:styleId="SubtleEmphasis">
    <w:name w:val="Subtle Emphasis"/>
    <w:uiPriority w:val="19"/>
    <w:semiHidden/>
    <w:qFormat/>
    <w:locked/>
    <w:rsid w:val="00D11197"/>
    <w:rPr>
      <w:i/>
      <w:iCs/>
    </w:rPr>
  </w:style>
  <w:style w:type="character" w:styleId="IntenseEmphasis">
    <w:name w:val="Intense Emphasis"/>
    <w:uiPriority w:val="21"/>
    <w:semiHidden/>
    <w:qFormat/>
    <w:locked/>
    <w:rsid w:val="00D11197"/>
    <w:rPr>
      <w:b/>
      <w:bCs/>
    </w:rPr>
  </w:style>
  <w:style w:type="character" w:styleId="IntenseReference">
    <w:name w:val="Intense Reference"/>
    <w:uiPriority w:val="32"/>
    <w:semiHidden/>
    <w:qFormat/>
    <w:locked/>
    <w:rsid w:val="00D11197"/>
    <w:rPr>
      <w:smallCaps/>
      <w:spacing w:val="5"/>
      <w:u w:val="single"/>
    </w:rPr>
  </w:style>
  <w:style w:type="paragraph" w:styleId="TOCHeading">
    <w:name w:val="TOC Heading"/>
    <w:basedOn w:val="Heading1"/>
    <w:next w:val="Normal"/>
    <w:uiPriority w:val="39"/>
    <w:semiHidden/>
    <w:qFormat/>
    <w:locked/>
    <w:rsid w:val="00D11197"/>
    <w:pPr>
      <w:keepNext w:val="0"/>
      <w:contextualSpacing/>
      <w:outlineLvl w:val="9"/>
    </w:pPr>
  </w:style>
  <w:style w:type="paragraph" w:styleId="Bibliography">
    <w:name w:val="Bibliography"/>
    <w:basedOn w:val="Normal"/>
    <w:next w:val="Normal"/>
    <w:uiPriority w:val="37"/>
    <w:semiHidden/>
    <w:locked/>
    <w:rsid w:val="00D11197"/>
    <w:rPr>
      <w:rFonts w:eastAsiaTheme="minorEastAsia" w:cstheme="minorBidi"/>
      <w:lang w:bidi="en-US"/>
    </w:rPr>
  </w:style>
  <w:style w:type="paragraph" w:styleId="Revision">
    <w:name w:val="Revision"/>
    <w:hidden/>
    <w:uiPriority w:val="99"/>
    <w:semiHidden/>
    <w:rsid w:val="00D11197"/>
    <w:pPr>
      <w:spacing w:after="0" w:line="240" w:lineRule="auto"/>
    </w:pPr>
    <w:rPr>
      <w:rFonts w:ascii="Arial" w:eastAsiaTheme="minorEastAsia" w:hAnsi="Arial"/>
      <w:sz w:val="20"/>
      <w:lang w:val="en-US" w:bidi="en-US"/>
    </w:rPr>
  </w:style>
  <w:style w:type="character" w:styleId="Mention">
    <w:name w:val="Mention"/>
    <w:basedOn w:val="DefaultParagraphFont"/>
    <w:uiPriority w:val="99"/>
    <w:semiHidden/>
    <w:locked/>
    <w:rsid w:val="00D11197"/>
    <w:rPr>
      <w:color w:val="2B579A"/>
      <w:shd w:val="clear" w:color="auto" w:fill="E6E6E6"/>
    </w:rPr>
  </w:style>
  <w:style w:type="character" w:styleId="UnresolvedMention">
    <w:name w:val="Unresolved Mention"/>
    <w:basedOn w:val="DefaultParagraphFont"/>
    <w:uiPriority w:val="99"/>
    <w:semiHidden/>
    <w:locked/>
    <w:rsid w:val="00D11197"/>
    <w:rPr>
      <w:color w:val="808080"/>
      <w:shd w:val="clear" w:color="auto" w:fill="E6E6E6"/>
    </w:rPr>
  </w:style>
  <w:style w:type="paragraph" w:styleId="NormalWeb">
    <w:name w:val="Normal (Web)"/>
    <w:basedOn w:val="Normal"/>
    <w:uiPriority w:val="99"/>
    <w:semiHidden/>
    <w:locked/>
    <w:rsid w:val="00D11197"/>
    <w:pPr>
      <w:spacing w:before="100" w:beforeAutospacing="1" w:after="100" w:afterAutospacing="1"/>
    </w:pPr>
    <w:rPr>
      <w:rFonts w:ascii="Times New Roman" w:eastAsia="Times New Roman" w:hAnsi="Times New Roman"/>
      <w:sz w:val="24"/>
      <w:szCs w:val="24"/>
      <w:lang w:eastAsia="en-AU"/>
    </w:rPr>
  </w:style>
  <w:style w:type="paragraph" w:customStyle="1" w:styleId="Heading1-AoT">
    <w:name w:val="Heading 1 - AoT"/>
    <w:basedOn w:val="Heading1Red"/>
    <w:qFormat/>
    <w:rsid w:val="00AF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audit.nsw.gov.au/our-stakeholders/universities" TargetMode="External"/><Relationship Id="rId39" Type="http://schemas.openxmlformats.org/officeDocument/2006/relationships/hyperlink" Target="https://www.treasury.nsw.gov.au/sites/default/files/2019-06/TC19-07%20Revenue%20AASB%2015%20AASB%201058%20.pdf"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s://www.audit.nsw.gov.au/our-stakeholders" TargetMode="External"/><Relationship Id="rId42" Type="http://schemas.openxmlformats.org/officeDocument/2006/relationships/hyperlink" Target="https://www.treasury.nsw.gov.au/sites/default/files/2017-04/Guidance%20for%20AASB%2016%20Leases%20-%20New%20Lease%20Standards.pdf" TargetMode="External"/><Relationship Id="rId47" Type="http://schemas.openxmlformats.org/officeDocument/2006/relationships/footer" Target="footer8.xml"/><Relationship Id="rId7" Type="http://schemas.openxmlformats.org/officeDocument/2006/relationships/hyperlink" Target="http://alfie/Audit-and-Assurance/Financial-Audit/Local-Councils/Audit-GPFS---Planning/local-council-client-service-plan" TargetMode="External"/><Relationship Id="rId12" Type="http://schemas.openxmlformats.org/officeDocument/2006/relationships/hyperlink" Target="https://www.audit.nsw.gov.au/our-stakeholders" TargetMode="External"/><Relationship Id="rId17" Type="http://schemas.openxmlformats.org/officeDocument/2006/relationships/header" Target="header2.xml"/><Relationship Id="rId25" Type="http://schemas.openxmlformats.org/officeDocument/2006/relationships/hyperlink" Target="https://www.audit.nsw.gov.au/our-stakeholders" TargetMode="External"/><Relationship Id="rId33" Type="http://schemas.openxmlformats.org/officeDocument/2006/relationships/hyperlink" Target="https://www.audit.nsw.gov.au/our-work/resources" TargetMode="External"/><Relationship Id="rId38" Type="http://schemas.openxmlformats.org/officeDocument/2006/relationships/hyperlink" Target="https://www.treasury.nsw.gov.au/sites/default/files/2017-12/Guidance%20for%20AASB%2015%20Revenue%20from%20contracts%20with%20customers.pdf"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audit.nsw.gov.au/our-stakeholders" TargetMode="External"/><Relationship Id="rId41" Type="http://schemas.openxmlformats.org/officeDocument/2006/relationships/hyperlink" Target="https://www.treasury.nsw.gov.au/sites/default/files/2019-06/TC19-07%20Revenue%20AASB%2015%20AASB%201058%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audit.nsw.gov.au/our-stakeholders" TargetMode="External"/><Relationship Id="rId32" Type="http://schemas.openxmlformats.org/officeDocument/2006/relationships/hyperlink" Target="https://www.audit.nsw.gov.au/our-work/resources" TargetMode="External"/><Relationship Id="rId37" Type="http://schemas.openxmlformats.org/officeDocument/2006/relationships/footer" Target="footer7.xml"/><Relationship Id="rId40" Type="http://schemas.openxmlformats.org/officeDocument/2006/relationships/hyperlink" Target="https://www.treasury.nsw.gov.au/sites/default/files/2017-12/Guidance%20for%20AASB%201058%20Income%20of%20Not-for-profit%20entities.pdf" TargetMode="External"/><Relationship Id="rId45"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udit.nsw.gov.au/our-stakeholders" TargetMode="External"/><Relationship Id="rId23" Type="http://schemas.openxmlformats.org/officeDocument/2006/relationships/hyperlink" Target="https://www.audit.nsw.gov.au/our-stakeholders/state-entities" TargetMode="External"/><Relationship Id="rId28" Type="http://schemas.openxmlformats.org/officeDocument/2006/relationships/hyperlink" Target="http://alfie/Audit-and-Assurance/Policies-Applicable-to-all-Engagements/2-3-Ethics-and-Independence/2-3-1-Ethics-and-Independence/2-3-1-ethics-and-independence" TargetMode="External"/><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hyperlink" Target="http://www.apesb.org.au/page.php?id=12" TargetMode="External"/><Relationship Id="rId19" Type="http://schemas.openxmlformats.org/officeDocument/2006/relationships/header" Target="header3.xml"/><Relationship Id="rId31" Type="http://schemas.openxmlformats.org/officeDocument/2006/relationships/hyperlink" Target="https://www.audit.nsw.gov.au/our-work/audit-program" TargetMode="External"/><Relationship Id="rId44" Type="http://schemas.openxmlformats.org/officeDocument/2006/relationships/hyperlink" Target="https://www.audit.nsw.gov.au/our-work/reports?progress_id%5B17%5D=17" TargetMode="External"/><Relationship Id="rId4" Type="http://schemas.openxmlformats.org/officeDocument/2006/relationships/webSettings" Target="webSettings.xml"/><Relationship Id="rId9" Type="http://schemas.openxmlformats.org/officeDocument/2006/relationships/hyperlink" Target="http://www.auasb.gov.au/Pronouncements/Australian-Auditing-Standards.aspx"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audit.nsw.gov.au/our-stakeholders/state-entities" TargetMode="External"/><Relationship Id="rId30" Type="http://schemas.openxmlformats.org/officeDocument/2006/relationships/hyperlink" Target="https://www.audit.nsw.gov.au/our-stakeholders" TargetMode="External"/><Relationship Id="rId35" Type="http://schemas.openxmlformats.org/officeDocument/2006/relationships/hyperlink" Target="https://www.audit.nsw.gov.au/our-stakeholders" TargetMode="External"/><Relationship Id="rId43" Type="http://schemas.openxmlformats.org/officeDocument/2006/relationships/hyperlink" Target="https://www.treasury.nsw.gov.au/sites/default/files/2018-06/TC18-05%20AASB%2016%20Leases%20-%20Transition%20Elections%20-%202pdf_0.pdf" TargetMode="External"/><Relationship Id="rId48" Type="http://schemas.openxmlformats.org/officeDocument/2006/relationships/fontTable" Target="fontTable.xml"/><Relationship Id="rId8" Type="http://schemas.openxmlformats.org/officeDocument/2006/relationships/hyperlink" Target="http://www.auasb.gov.au/Pronouncements/Australian-Auditing-Standard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alfie/Audit-and-Assurance/Financial-Audit/Departments/Audit-GPFS---Conclude---Report/Representation-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8131</Words>
  <Characters>46757</Characters>
  <Application>Microsoft Office Word</Application>
  <DocSecurity>0</DocSecurity>
  <Lines>1298</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Tracey Morris</cp:lastModifiedBy>
  <cp:revision>51</cp:revision>
  <cp:lastPrinted>2019-06-25T06:24:00Z</cp:lastPrinted>
  <dcterms:created xsi:type="dcterms:W3CDTF">2019-07-01T01:46:00Z</dcterms:created>
  <dcterms:modified xsi:type="dcterms:W3CDTF">2019-07-17T01:36:00Z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ies>
</file>